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ind w:firstLine="360" w:firstLineChars="150"/>
        <w:rPr>
          <w:rFonts w:ascii="宋体" w:hAnsi="宋体"/>
          <w:bCs/>
          <w:iCs/>
          <w:sz w:val="24"/>
        </w:rPr>
      </w:pPr>
      <w:r>
        <w:rPr>
          <w:rFonts w:hint="eastAsia" w:ascii="宋体" w:hAnsi="宋体"/>
          <w:bCs/>
          <w:iCs/>
          <w:sz w:val="24"/>
        </w:rPr>
        <w:t>证券代码：000636                           证券简称：风华高科</w:t>
      </w:r>
    </w:p>
    <w:p>
      <w:pPr>
        <w:spacing w:beforeLines="50" w:afterLines="50" w:line="400" w:lineRule="exact"/>
        <w:jc w:val="center"/>
        <w:rPr>
          <w:rFonts w:asciiTheme="majorEastAsia" w:hAnsiTheme="majorEastAsia" w:eastAsiaTheme="majorEastAsia"/>
          <w:b/>
          <w:bCs/>
          <w:iCs/>
          <w:sz w:val="30"/>
          <w:szCs w:val="30"/>
        </w:rPr>
      </w:pPr>
      <w:r>
        <w:rPr>
          <w:rFonts w:hint="eastAsia" w:asciiTheme="majorEastAsia" w:hAnsiTheme="majorEastAsia" w:eastAsiaTheme="majorEastAsia"/>
          <w:b/>
          <w:bCs/>
          <w:iCs/>
          <w:sz w:val="30"/>
          <w:szCs w:val="30"/>
        </w:rPr>
        <w:t>广东风华高新科技股份有限公司</w:t>
      </w:r>
    </w:p>
    <w:p>
      <w:pPr>
        <w:spacing w:beforeLines="50" w:afterLines="50" w:line="400" w:lineRule="exact"/>
        <w:jc w:val="center"/>
        <w:rPr>
          <w:rFonts w:asciiTheme="majorEastAsia" w:hAnsiTheme="majorEastAsia" w:eastAsiaTheme="majorEastAsia"/>
          <w:b/>
          <w:bCs/>
          <w:iCs/>
          <w:sz w:val="30"/>
          <w:szCs w:val="30"/>
        </w:rPr>
      </w:pPr>
      <w:r>
        <w:rPr>
          <w:rFonts w:hint="eastAsia" w:asciiTheme="majorEastAsia" w:hAnsiTheme="majorEastAsia" w:eastAsiaTheme="majorEastAsia"/>
          <w:b/>
          <w:bCs/>
          <w:iCs/>
          <w:sz w:val="30"/>
          <w:szCs w:val="30"/>
        </w:rPr>
        <w:t>投资者关系活动记录表</w:t>
      </w:r>
    </w:p>
    <w:p>
      <w:pPr>
        <w:spacing w:line="400" w:lineRule="exact"/>
        <w:rPr>
          <w:rFonts w:ascii="宋体" w:hAnsi="宋体"/>
          <w:bCs/>
          <w:iCs/>
          <w:sz w:val="24"/>
          <w:szCs w:val="24"/>
        </w:rPr>
      </w:pPr>
      <w:r>
        <w:rPr>
          <w:rFonts w:hint="eastAsia" w:ascii="宋体" w:hAnsi="宋体"/>
          <w:bCs/>
          <w:iCs/>
          <w:sz w:val="24"/>
          <w:szCs w:val="24"/>
        </w:rPr>
        <w:t xml:space="preserve">                                                      编号：2020-001</w:t>
      </w:r>
    </w:p>
    <w:tbl>
      <w:tblPr>
        <w:tblStyle w:val="5"/>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投资者关系活动类别</w:t>
            </w:r>
          </w:p>
          <w:p>
            <w:pPr>
              <w:spacing w:line="480" w:lineRule="atLeast"/>
              <w:rPr>
                <w:rFonts w:ascii="宋体" w:hAnsi="宋体"/>
                <w:b/>
                <w:bCs/>
                <w:iCs/>
                <w:sz w:val="24"/>
                <w:szCs w:val="24"/>
              </w:rPr>
            </w:pPr>
          </w:p>
        </w:tc>
        <w:tc>
          <w:tcPr>
            <w:tcW w:w="7448" w:type="dxa"/>
            <w:shd w:val="clear" w:color="auto" w:fill="auto"/>
          </w:tcPr>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特定对象调研        </w:t>
            </w:r>
            <w:r>
              <w:rPr>
                <w:rFonts w:hint="eastAsia" w:ascii="宋体" w:hAnsi="宋体"/>
                <w:bCs/>
                <w:iCs/>
                <w:sz w:val="24"/>
                <w:szCs w:val="24"/>
              </w:rPr>
              <w:t>□</w:t>
            </w:r>
            <w:r>
              <w:rPr>
                <w:rFonts w:hint="eastAsia" w:ascii="宋体" w:hAnsi="宋体"/>
                <w:sz w:val="24"/>
                <w:szCs w:val="24"/>
              </w:rPr>
              <w:t>分析师会议</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媒体采访            </w:t>
            </w:r>
            <w:r>
              <w:rPr>
                <w:rFonts w:hint="eastAsia" w:ascii="宋体" w:hAnsi="宋体"/>
                <w:bCs/>
                <w:iCs/>
                <w:sz w:val="24"/>
                <w:szCs w:val="24"/>
              </w:rPr>
              <w:t>□</w:t>
            </w:r>
            <w:r>
              <w:rPr>
                <w:rFonts w:hint="eastAsia" w:ascii="宋体" w:hAnsi="宋体"/>
                <w:sz w:val="24"/>
                <w:szCs w:val="24"/>
              </w:rPr>
              <w:t>业绩说明会</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hint="eastAsia" w:ascii="宋体" w:hAnsi="宋体"/>
                <w:bCs/>
                <w:iCs/>
                <w:sz w:val="24"/>
                <w:szCs w:val="24"/>
              </w:rPr>
              <w:t>□</w:t>
            </w:r>
            <w:r>
              <w:rPr>
                <w:rFonts w:hint="eastAsia" w:ascii="宋体" w:hAnsi="宋体"/>
                <w:sz w:val="24"/>
                <w:szCs w:val="24"/>
              </w:rPr>
              <w:t>路演活动</w:t>
            </w:r>
          </w:p>
          <w:p>
            <w:pPr>
              <w:tabs>
                <w:tab w:val="left" w:pos="3045"/>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现场参观</w:t>
            </w:r>
            <w:r>
              <w:rPr>
                <w:rFonts w:ascii="宋体" w:hAnsi="宋体"/>
                <w:bCs/>
                <w:iCs/>
                <w:sz w:val="24"/>
                <w:szCs w:val="24"/>
              </w:rPr>
              <w:tab/>
            </w:r>
          </w:p>
          <w:p>
            <w:pPr>
              <w:tabs>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其他 （</w:t>
            </w:r>
            <w:r>
              <w:rPr>
                <w:rFonts w:hint="eastAsia" w:ascii="宋体" w:hAnsi="宋体"/>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参与单位名称及人员姓名</w:t>
            </w:r>
          </w:p>
        </w:tc>
        <w:tc>
          <w:tcPr>
            <w:tcW w:w="7448" w:type="dxa"/>
            <w:shd w:val="clear" w:color="auto" w:fill="auto"/>
          </w:tcPr>
          <w:p>
            <w:pPr>
              <w:spacing w:line="480" w:lineRule="atLeast"/>
              <w:rPr>
                <w:rFonts w:ascii="宋体" w:hAnsi="宋体"/>
                <w:bCs/>
                <w:iCs/>
                <w:sz w:val="24"/>
                <w:szCs w:val="24"/>
              </w:rPr>
            </w:pPr>
            <w:r>
              <w:rPr>
                <w:rFonts w:hint="eastAsia" w:ascii="宋体" w:hAnsi="宋体"/>
                <w:bCs/>
                <w:iCs/>
                <w:sz w:val="24"/>
                <w:szCs w:val="24"/>
              </w:rPr>
              <w:t>东吴证券、</w:t>
            </w:r>
            <w:r>
              <w:rPr>
                <w:rFonts w:hint="eastAsia" w:ascii="宋体" w:hAnsi="宋体"/>
                <w:bCs/>
                <w:iCs/>
                <w:sz w:val="24"/>
                <w:szCs w:val="24"/>
                <w:lang w:eastAsia="zh-CN"/>
              </w:rPr>
              <w:t>中银基金、富国基金、禾其投资、广发基金、钦沐资产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时间</w:t>
            </w:r>
          </w:p>
        </w:tc>
        <w:tc>
          <w:tcPr>
            <w:tcW w:w="7448" w:type="dxa"/>
            <w:shd w:val="clear" w:color="auto" w:fill="auto"/>
          </w:tcPr>
          <w:p>
            <w:pPr>
              <w:spacing w:line="480" w:lineRule="atLeast"/>
              <w:rPr>
                <w:rFonts w:ascii="宋体" w:hAnsi="宋体"/>
                <w:bCs/>
                <w:iCs/>
                <w:sz w:val="24"/>
                <w:szCs w:val="24"/>
              </w:rPr>
            </w:pPr>
            <w:r>
              <w:rPr>
                <w:rFonts w:hint="eastAsia" w:ascii="宋体" w:hAnsi="宋体"/>
                <w:bCs/>
                <w:iCs/>
                <w:sz w:val="24"/>
                <w:szCs w:val="24"/>
              </w:rPr>
              <w:t>2020年</w:t>
            </w:r>
            <w:r>
              <w:rPr>
                <w:rFonts w:hint="eastAsia" w:ascii="宋体" w:hAnsi="宋体"/>
                <w:bCs/>
                <w:iCs/>
                <w:sz w:val="24"/>
                <w:szCs w:val="24"/>
                <w:lang w:val="en-US" w:eastAsia="zh-CN"/>
              </w:rPr>
              <w:t>7</w:t>
            </w:r>
            <w:r>
              <w:rPr>
                <w:rFonts w:hint="eastAsia" w:ascii="宋体" w:hAnsi="宋体"/>
                <w:bCs/>
                <w:iCs/>
                <w:sz w:val="24"/>
                <w:szCs w:val="24"/>
              </w:rPr>
              <w:t>月</w:t>
            </w:r>
            <w:r>
              <w:rPr>
                <w:rFonts w:hint="eastAsia" w:ascii="宋体" w:hAnsi="宋体"/>
                <w:bCs/>
                <w:iCs/>
                <w:sz w:val="24"/>
                <w:szCs w:val="24"/>
                <w:lang w:val="en-US" w:eastAsia="zh-CN"/>
              </w:rPr>
              <w:t>14</w:t>
            </w:r>
            <w:r>
              <w:rPr>
                <w:rFonts w:hint="eastAsia" w:ascii="宋体" w:hAnsi="宋体"/>
                <w:bCs/>
                <w:iCs/>
                <w:sz w:val="24"/>
                <w:szCs w:val="24"/>
              </w:rPr>
              <w:t>日下午15:00时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地点</w:t>
            </w:r>
          </w:p>
        </w:tc>
        <w:tc>
          <w:tcPr>
            <w:tcW w:w="7448" w:type="dxa"/>
            <w:shd w:val="clear" w:color="auto" w:fill="auto"/>
          </w:tcPr>
          <w:p>
            <w:pPr>
              <w:spacing w:line="480" w:lineRule="atLeast"/>
              <w:rPr>
                <w:rFonts w:ascii="宋体" w:hAnsi="宋体"/>
                <w:bCs/>
                <w:iCs/>
                <w:sz w:val="24"/>
                <w:szCs w:val="24"/>
              </w:rPr>
            </w:pPr>
            <w:r>
              <w:rPr>
                <w:rFonts w:hint="eastAsia" w:ascii="宋体" w:hAnsi="宋体"/>
                <w:bCs/>
                <w:iCs/>
                <w:sz w:val="24"/>
                <w:szCs w:val="24"/>
              </w:rPr>
              <w:t>广东省肇庆市风华路18号风华电子城会议室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上市公司接待人员姓名</w:t>
            </w:r>
          </w:p>
        </w:tc>
        <w:tc>
          <w:tcPr>
            <w:tcW w:w="7448" w:type="dxa"/>
            <w:shd w:val="clear" w:color="auto" w:fill="auto"/>
            <w:vAlign w:val="center"/>
          </w:tcPr>
          <w:p>
            <w:pPr>
              <w:spacing w:line="480" w:lineRule="atLeast"/>
              <w:rPr>
                <w:rFonts w:ascii="宋体" w:hAnsi="宋体"/>
                <w:bCs/>
                <w:iCs/>
                <w:sz w:val="24"/>
                <w:szCs w:val="24"/>
              </w:rPr>
            </w:pPr>
            <w:r>
              <w:rPr>
                <w:rFonts w:hint="eastAsia" w:ascii="宋体" w:hAnsi="宋体"/>
                <w:bCs/>
                <w:iCs/>
                <w:sz w:val="24"/>
                <w:szCs w:val="24"/>
              </w:rPr>
              <w:t>董事会秘书陈绪运先生及投资与证券事务部工作人员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1908" w:type="dxa"/>
            <w:shd w:val="clear" w:color="auto" w:fill="auto"/>
            <w:vAlign w:val="center"/>
          </w:tcPr>
          <w:p>
            <w:pPr>
              <w:spacing w:line="480" w:lineRule="atLeast"/>
              <w:rPr>
                <w:rFonts w:ascii="宋体" w:hAnsi="宋体"/>
                <w:b/>
                <w:bCs/>
                <w:iCs/>
                <w:sz w:val="24"/>
                <w:szCs w:val="24"/>
              </w:rPr>
            </w:pPr>
            <w:r>
              <w:rPr>
                <w:rFonts w:hint="eastAsia" w:ascii="宋体" w:hAnsi="宋体"/>
                <w:b/>
                <w:bCs/>
                <w:iCs/>
                <w:sz w:val="24"/>
                <w:szCs w:val="24"/>
              </w:rPr>
              <w:t>投资者关系活动主要内容介绍</w:t>
            </w:r>
          </w:p>
          <w:p>
            <w:pPr>
              <w:spacing w:line="480" w:lineRule="atLeast"/>
              <w:rPr>
                <w:rFonts w:ascii="宋体" w:hAnsi="宋体"/>
                <w:b/>
                <w:bCs/>
                <w:iCs/>
                <w:sz w:val="24"/>
                <w:szCs w:val="24"/>
              </w:rPr>
            </w:pPr>
          </w:p>
        </w:tc>
        <w:tc>
          <w:tcPr>
            <w:tcW w:w="7448" w:type="dxa"/>
            <w:shd w:val="clear" w:color="auto" w:fill="auto"/>
          </w:tcPr>
          <w:p>
            <w:pPr>
              <w:spacing w:line="480" w:lineRule="atLeast"/>
              <w:ind w:firstLine="465"/>
              <w:rPr>
                <w:rFonts w:ascii="宋体" w:hAnsi="宋体"/>
                <w:b/>
                <w:bCs/>
                <w:iCs/>
                <w:sz w:val="24"/>
                <w:szCs w:val="24"/>
              </w:rPr>
            </w:pPr>
            <w:r>
              <w:rPr>
                <w:rFonts w:hint="eastAsia" w:ascii="宋体" w:hAnsi="宋体"/>
                <w:b/>
                <w:bCs/>
                <w:iCs/>
                <w:sz w:val="24"/>
                <w:szCs w:val="24"/>
              </w:rPr>
              <w:t>1．问题：公司曾披露的56亿只MLCC扩产项目目前的进度如何？</w:t>
            </w:r>
          </w:p>
          <w:p>
            <w:pPr>
              <w:spacing w:line="360" w:lineRule="auto"/>
              <w:ind w:firstLine="480" w:firstLineChars="200"/>
              <w:jc w:val="left"/>
              <w:rPr>
                <w:rFonts w:ascii="宋体" w:hAnsi="宋体"/>
                <w:bCs/>
                <w:iCs/>
                <w:sz w:val="24"/>
                <w:szCs w:val="24"/>
              </w:rPr>
            </w:pPr>
            <w:r>
              <w:rPr>
                <w:rFonts w:hint="eastAsia" w:ascii="宋体" w:hAnsi="宋体"/>
                <w:bCs/>
                <w:iCs/>
                <w:sz w:val="24"/>
                <w:szCs w:val="24"/>
              </w:rPr>
              <w:t>答：公司于2018年8月31日披露了《关于投资新增月产56亿只MLCC技改扩产项目的公告》，本项目是根据公司战略发展规划，并结合行业发展趋势及公司MLCC经营情况，为提升MLCC产能规模及优化产品结构而投资的技改扩产项目。</w:t>
            </w:r>
            <w:r>
              <w:rPr>
                <w:rFonts w:hint="eastAsia" w:ascii="宋体" w:hAnsi="宋体"/>
                <w:bCs/>
                <w:iCs/>
                <w:sz w:val="24"/>
                <w:szCs w:val="24"/>
                <w:lang w:eastAsia="zh-CN"/>
              </w:rPr>
              <w:t>项目因受场地规划及设备交期影响导致进度晚于原计划，</w:t>
            </w:r>
            <w:r>
              <w:rPr>
                <w:rFonts w:hint="eastAsia" w:ascii="宋体" w:hAnsi="宋体"/>
                <w:bCs/>
                <w:iCs/>
                <w:sz w:val="24"/>
                <w:szCs w:val="24"/>
              </w:rPr>
              <w:t>目前</w:t>
            </w:r>
            <w:r>
              <w:rPr>
                <w:rFonts w:hint="eastAsia" w:ascii="宋体" w:hAnsi="宋体"/>
                <w:bCs/>
                <w:iCs/>
                <w:sz w:val="24"/>
                <w:szCs w:val="24"/>
                <w:lang w:eastAsia="zh-CN"/>
              </w:rPr>
              <w:t>已进入</w:t>
            </w:r>
            <w:r>
              <w:rPr>
                <w:rFonts w:hint="eastAsia" w:ascii="宋体" w:hAnsi="宋体"/>
                <w:bCs/>
                <w:iCs/>
                <w:sz w:val="24"/>
                <w:szCs w:val="24"/>
              </w:rPr>
              <w:t>设备安装调试阶段</w:t>
            </w:r>
            <w:r>
              <w:rPr>
                <w:rFonts w:hint="eastAsia" w:ascii="宋体" w:hAnsi="宋体"/>
                <w:bCs/>
                <w:iCs/>
                <w:sz w:val="24"/>
                <w:szCs w:val="24"/>
                <w:lang w:eastAsia="zh-CN"/>
              </w:rPr>
              <w:t>。</w:t>
            </w:r>
            <w:bookmarkStart w:id="0" w:name="_GoBack"/>
            <w:bookmarkEnd w:id="0"/>
          </w:p>
          <w:p>
            <w:pPr>
              <w:spacing w:line="480" w:lineRule="atLeast"/>
              <w:ind w:firstLine="465"/>
              <w:rPr>
                <w:rFonts w:ascii="宋体" w:hAnsi="宋体"/>
                <w:b/>
                <w:bCs/>
                <w:iCs/>
                <w:sz w:val="24"/>
                <w:szCs w:val="24"/>
              </w:rPr>
            </w:pPr>
            <w:r>
              <w:rPr>
                <w:rFonts w:hint="eastAsia" w:ascii="宋体" w:hAnsi="宋体"/>
                <w:b/>
                <w:bCs/>
                <w:iCs/>
                <w:sz w:val="24"/>
                <w:szCs w:val="24"/>
              </w:rPr>
              <w:t>2．问题：公司</w:t>
            </w:r>
            <w:r>
              <w:rPr>
                <w:rFonts w:hint="eastAsia" w:ascii="宋体" w:hAnsi="宋体"/>
                <w:b/>
                <w:bCs/>
                <w:iCs/>
                <w:sz w:val="24"/>
                <w:szCs w:val="24"/>
                <w:lang w:eastAsia="zh-CN"/>
              </w:rPr>
              <w:t>投资</w:t>
            </w:r>
            <w:r>
              <w:rPr>
                <w:rFonts w:hint="eastAsia" w:ascii="宋体" w:hAnsi="宋体"/>
                <w:b/>
                <w:bCs/>
                <w:iCs/>
                <w:sz w:val="24"/>
                <w:szCs w:val="24"/>
              </w:rPr>
              <w:t>75亿</w:t>
            </w:r>
            <w:r>
              <w:rPr>
                <w:rFonts w:hint="eastAsia" w:ascii="宋体" w:hAnsi="宋体"/>
                <w:b/>
                <w:bCs/>
                <w:iCs/>
                <w:sz w:val="24"/>
                <w:szCs w:val="24"/>
                <w:lang w:eastAsia="zh-CN"/>
              </w:rPr>
              <w:t>元</w:t>
            </w:r>
            <w:r>
              <w:rPr>
                <w:rFonts w:hint="eastAsia" w:ascii="宋体" w:hAnsi="宋体"/>
                <w:b/>
                <w:bCs/>
                <w:iCs/>
                <w:sz w:val="24"/>
                <w:szCs w:val="24"/>
              </w:rPr>
              <w:t>扩产项目进度情况及目标</w:t>
            </w:r>
            <w:r>
              <w:rPr>
                <w:rFonts w:hint="eastAsia" w:ascii="宋体" w:hAnsi="宋体"/>
                <w:b/>
                <w:bCs/>
                <w:iCs/>
                <w:sz w:val="24"/>
                <w:szCs w:val="24"/>
                <w:lang w:eastAsia="zh-CN"/>
              </w:rPr>
              <w:t>领域</w:t>
            </w:r>
            <w:r>
              <w:rPr>
                <w:rFonts w:hint="eastAsia" w:ascii="宋体" w:hAnsi="宋体"/>
                <w:b/>
                <w:bCs/>
                <w:iCs/>
                <w:sz w:val="24"/>
                <w:szCs w:val="24"/>
              </w:rPr>
              <w:t>？</w:t>
            </w:r>
          </w:p>
          <w:p>
            <w:pPr>
              <w:spacing w:line="480" w:lineRule="atLeast"/>
              <w:ind w:firstLine="465"/>
              <w:rPr>
                <w:rFonts w:ascii="宋体" w:hAnsi="宋体"/>
                <w:bCs/>
                <w:iCs/>
                <w:sz w:val="24"/>
                <w:szCs w:val="24"/>
              </w:rPr>
            </w:pPr>
            <w:r>
              <w:rPr>
                <w:rFonts w:hint="eastAsia" w:ascii="宋体" w:hAnsi="宋体"/>
                <w:bCs/>
                <w:iCs/>
                <w:sz w:val="24"/>
                <w:szCs w:val="24"/>
              </w:rPr>
              <w:t>答：公司于2020年3月13日披露了《关于投资建设祥和工业园高端电容基地项目的公告》</w:t>
            </w:r>
            <w:r>
              <w:rPr>
                <w:rFonts w:hint="eastAsia" w:ascii="宋体" w:hAnsi="宋体"/>
                <w:bCs/>
                <w:iCs/>
                <w:sz w:val="24"/>
                <w:szCs w:val="24"/>
                <w:lang w:eastAsia="zh-CN"/>
              </w:rPr>
              <w:t>，</w:t>
            </w:r>
            <w:r>
              <w:rPr>
                <w:rFonts w:hint="eastAsia" w:ascii="宋体" w:hAnsi="宋体"/>
                <w:bCs/>
                <w:iCs/>
                <w:sz w:val="24"/>
                <w:szCs w:val="24"/>
              </w:rPr>
              <w:t>计划投资75亿元扩产450亿只/月的MLCC产能。项目分三期建设</w:t>
            </w:r>
            <w:r>
              <w:rPr>
                <w:rFonts w:hint="eastAsia" w:ascii="宋体" w:hAnsi="宋体"/>
                <w:bCs/>
                <w:iCs/>
                <w:sz w:val="24"/>
                <w:szCs w:val="24"/>
                <w:lang w:eastAsia="zh-CN"/>
              </w:rPr>
              <w:t>，</w:t>
            </w:r>
            <w:r>
              <w:rPr>
                <w:rFonts w:hint="eastAsia" w:ascii="宋体" w:hAnsi="宋体"/>
                <w:bCs/>
                <w:iCs/>
                <w:sz w:val="24"/>
                <w:szCs w:val="24"/>
              </w:rPr>
              <w:t>第一期的50亿只产能</w:t>
            </w:r>
            <w:r>
              <w:rPr>
                <w:rFonts w:hint="eastAsia" w:ascii="宋体" w:hAnsi="宋体"/>
                <w:bCs/>
                <w:iCs/>
                <w:sz w:val="24"/>
                <w:szCs w:val="24"/>
                <w:lang w:eastAsia="zh-CN"/>
              </w:rPr>
              <w:t>计划</w:t>
            </w:r>
            <w:r>
              <w:rPr>
                <w:rFonts w:hint="eastAsia" w:ascii="宋体" w:hAnsi="宋体"/>
                <w:bCs/>
                <w:iCs/>
                <w:sz w:val="24"/>
                <w:szCs w:val="24"/>
              </w:rPr>
              <w:t>在2020年底</w:t>
            </w:r>
            <w:r>
              <w:rPr>
                <w:rFonts w:hint="eastAsia" w:ascii="宋体" w:hAnsi="宋体"/>
                <w:bCs/>
                <w:iCs/>
                <w:sz w:val="24"/>
                <w:szCs w:val="24"/>
                <w:lang w:eastAsia="zh-CN"/>
              </w:rPr>
              <w:t>开始产出</w:t>
            </w:r>
            <w:r>
              <w:rPr>
                <w:rFonts w:hint="eastAsia" w:ascii="宋体" w:hAnsi="宋体"/>
                <w:bCs/>
                <w:iCs/>
                <w:sz w:val="24"/>
                <w:szCs w:val="24"/>
              </w:rPr>
              <w:t>，</w:t>
            </w:r>
            <w:r>
              <w:rPr>
                <w:rFonts w:hint="eastAsia" w:ascii="宋体" w:hAnsi="宋体"/>
                <w:bCs/>
                <w:iCs/>
                <w:sz w:val="24"/>
                <w:szCs w:val="24"/>
                <w:lang w:eastAsia="zh-CN"/>
              </w:rPr>
              <w:t>主要应用于</w:t>
            </w:r>
            <w:r>
              <w:rPr>
                <w:rFonts w:hint="eastAsia" w:ascii="宋体" w:hAnsi="宋体"/>
                <w:bCs/>
                <w:iCs/>
                <w:sz w:val="24"/>
                <w:szCs w:val="24"/>
              </w:rPr>
              <w:t>5G通讯</w:t>
            </w:r>
            <w:r>
              <w:rPr>
                <w:rFonts w:hint="eastAsia" w:ascii="宋体" w:hAnsi="宋体"/>
                <w:bCs/>
                <w:iCs/>
                <w:sz w:val="24"/>
                <w:szCs w:val="24"/>
                <w:lang w:eastAsia="zh-CN"/>
              </w:rPr>
              <w:t>及汽车电子等领域</w:t>
            </w:r>
            <w:r>
              <w:rPr>
                <w:rFonts w:hint="eastAsia" w:ascii="宋体" w:hAnsi="宋体"/>
                <w:bCs/>
                <w:iCs/>
                <w:sz w:val="24"/>
                <w:szCs w:val="24"/>
              </w:rPr>
              <w:t>。项目完成后</w:t>
            </w:r>
            <w:r>
              <w:rPr>
                <w:rFonts w:hint="eastAsia" w:ascii="宋体" w:hAnsi="宋体"/>
                <w:bCs/>
                <w:iCs/>
                <w:sz w:val="24"/>
                <w:szCs w:val="24"/>
                <w:lang w:eastAsia="zh-CN"/>
              </w:rPr>
              <w:t>，</w:t>
            </w:r>
            <w:r>
              <w:rPr>
                <w:rFonts w:hint="eastAsia" w:ascii="宋体" w:hAnsi="宋体"/>
                <w:bCs/>
                <w:iCs/>
                <w:sz w:val="24"/>
                <w:szCs w:val="24"/>
              </w:rPr>
              <w:t>在产能扩充的同时</w:t>
            </w:r>
            <w:r>
              <w:rPr>
                <w:rFonts w:hint="eastAsia" w:ascii="宋体" w:hAnsi="宋体"/>
                <w:bCs/>
                <w:iCs/>
                <w:sz w:val="24"/>
                <w:szCs w:val="24"/>
                <w:lang w:eastAsia="zh-CN"/>
              </w:rPr>
              <w:t>，</w:t>
            </w:r>
            <w:r>
              <w:rPr>
                <w:rFonts w:hint="eastAsia" w:ascii="宋体" w:hAnsi="宋体"/>
                <w:bCs/>
                <w:iCs/>
                <w:sz w:val="24"/>
                <w:szCs w:val="24"/>
              </w:rPr>
              <w:t>公司的产品品质</w:t>
            </w:r>
            <w:r>
              <w:rPr>
                <w:rFonts w:hint="eastAsia" w:ascii="宋体" w:hAnsi="宋体"/>
                <w:bCs/>
                <w:iCs/>
                <w:sz w:val="24"/>
                <w:szCs w:val="24"/>
                <w:lang w:eastAsia="zh-CN"/>
              </w:rPr>
              <w:t>及产品结构也</w:t>
            </w:r>
            <w:r>
              <w:rPr>
                <w:rFonts w:hint="eastAsia" w:ascii="宋体" w:hAnsi="宋体"/>
                <w:bCs/>
                <w:iCs/>
                <w:sz w:val="24"/>
                <w:szCs w:val="24"/>
              </w:rPr>
              <w:t>会有一个较大幅度的提升。目前项目进度正常</w:t>
            </w:r>
            <w:r>
              <w:rPr>
                <w:rFonts w:hint="eastAsia" w:ascii="宋体" w:hAnsi="宋体"/>
                <w:bCs/>
                <w:iCs/>
                <w:sz w:val="24"/>
                <w:szCs w:val="24"/>
                <w:lang w:eastAsia="zh-CN"/>
              </w:rPr>
              <w:t>，祥和工业园的建设及</w:t>
            </w:r>
            <w:r>
              <w:rPr>
                <w:rFonts w:hint="eastAsia" w:ascii="宋体" w:hAnsi="宋体"/>
                <w:bCs/>
                <w:iCs/>
                <w:sz w:val="24"/>
                <w:szCs w:val="24"/>
              </w:rPr>
              <w:t>设备采购</w:t>
            </w:r>
            <w:r>
              <w:rPr>
                <w:rFonts w:hint="eastAsia" w:ascii="宋体" w:hAnsi="宋体"/>
                <w:bCs/>
                <w:iCs/>
                <w:sz w:val="24"/>
                <w:szCs w:val="24"/>
                <w:lang w:eastAsia="zh-CN"/>
              </w:rPr>
              <w:t>等工作均按计划进度推进中</w:t>
            </w:r>
            <w:r>
              <w:rPr>
                <w:rFonts w:hint="eastAsia" w:ascii="宋体" w:hAnsi="宋体"/>
                <w:bCs/>
                <w:iCs/>
                <w:sz w:val="24"/>
                <w:szCs w:val="24"/>
              </w:rPr>
              <w:t>。关于本项目更多信息可查阅已披露的项目公告。</w:t>
            </w:r>
          </w:p>
          <w:p>
            <w:pPr>
              <w:spacing w:line="480" w:lineRule="atLeast"/>
              <w:ind w:firstLine="465"/>
              <w:rPr>
                <w:rFonts w:ascii="宋体" w:hAnsi="宋体"/>
                <w:b/>
                <w:bCs/>
                <w:iCs/>
                <w:sz w:val="24"/>
                <w:szCs w:val="24"/>
              </w:rPr>
            </w:pPr>
            <w:r>
              <w:rPr>
                <w:rFonts w:hint="eastAsia" w:ascii="宋体" w:hAnsi="宋体"/>
                <w:b/>
                <w:bCs/>
                <w:iCs/>
                <w:sz w:val="24"/>
                <w:szCs w:val="24"/>
              </w:rPr>
              <w:t>3．问题：投资者诉讼事项情况</w:t>
            </w:r>
            <w:r>
              <w:rPr>
                <w:rFonts w:hint="eastAsia" w:ascii="宋体" w:hAnsi="宋体"/>
                <w:b/>
                <w:bCs/>
                <w:iCs/>
                <w:sz w:val="24"/>
                <w:szCs w:val="24"/>
                <w:lang w:eastAsia="zh-CN"/>
              </w:rPr>
              <w:t>？</w:t>
            </w:r>
          </w:p>
          <w:p>
            <w:pPr>
              <w:spacing w:line="480" w:lineRule="atLeast"/>
              <w:ind w:firstLine="465"/>
              <w:rPr>
                <w:rFonts w:hint="eastAsia" w:ascii="宋体" w:hAnsi="宋体" w:eastAsia="宋体"/>
                <w:bCs/>
                <w:iCs/>
                <w:sz w:val="24"/>
                <w:szCs w:val="24"/>
                <w:lang w:val="en-US" w:eastAsia="zh-CN"/>
              </w:rPr>
            </w:pPr>
            <w:r>
              <w:rPr>
                <w:rFonts w:hint="eastAsia" w:ascii="宋体" w:hAnsi="宋体"/>
                <w:bCs/>
                <w:iCs/>
                <w:sz w:val="24"/>
                <w:szCs w:val="24"/>
              </w:rPr>
              <w:t>答：</w:t>
            </w:r>
            <w:r>
              <w:rPr>
                <w:rFonts w:hint="eastAsia" w:ascii="宋体" w:hAnsi="宋体" w:cs="宋体"/>
                <w:sz w:val="24"/>
                <w:szCs w:val="24"/>
                <w:lang w:eastAsia="zh-CN"/>
              </w:rPr>
              <w:t>目前</w:t>
            </w:r>
            <w:r>
              <w:rPr>
                <w:rFonts w:ascii="宋体" w:hAnsi="宋体" w:eastAsia="宋体" w:cs="宋体"/>
                <w:sz w:val="24"/>
                <w:szCs w:val="24"/>
              </w:rPr>
              <w:t>广东省广州市中级人民法院已对何宇等28</w:t>
            </w:r>
            <w:r>
              <w:rPr>
                <w:rFonts w:hint="eastAsia" w:ascii="宋体" w:hAnsi="宋体" w:cs="宋体"/>
                <w:sz w:val="24"/>
                <w:szCs w:val="24"/>
                <w:lang w:eastAsia="zh-CN"/>
              </w:rPr>
              <w:t>案</w:t>
            </w:r>
            <w:r>
              <w:rPr>
                <w:rFonts w:ascii="宋体" w:hAnsi="宋体" w:eastAsia="宋体" w:cs="宋体"/>
                <w:sz w:val="24"/>
                <w:szCs w:val="24"/>
              </w:rPr>
              <w:t>起诉公司证券虚假陈述责任纠纷案件审理终结并作出一审判决</w:t>
            </w:r>
            <w:r>
              <w:rPr>
                <w:rFonts w:hint="eastAsia" w:ascii="宋体" w:hAnsi="宋体" w:cs="宋体"/>
                <w:sz w:val="24"/>
                <w:szCs w:val="24"/>
                <w:lang w:eastAsia="zh-CN"/>
              </w:rPr>
              <w:t>，</w:t>
            </w:r>
            <w:r>
              <w:rPr>
                <w:rFonts w:ascii="宋体" w:hAnsi="宋体" w:eastAsia="宋体" w:cs="宋体"/>
                <w:sz w:val="24"/>
                <w:szCs w:val="24"/>
              </w:rPr>
              <w:t>公司对于一审判决不服并将在法律规定期限内向广东省高级人民法院提起上诉。鉴于案件尚未结案，基于谨慎性原则，公司将严格按照会计准则要求对上述投资者一审判决结果进行账务处理，公司暂无法判断上述索赔对公司损益产生的最终影响，具体需以经审计后确认的财务数据为准。</w:t>
            </w:r>
          </w:p>
          <w:p>
            <w:pPr>
              <w:spacing w:line="480" w:lineRule="atLeast"/>
              <w:ind w:firstLine="465"/>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shd w:val="clear" w:color="auto" w:fill="auto"/>
            <w:vAlign w:val="center"/>
          </w:tcPr>
          <w:p>
            <w:pPr>
              <w:spacing w:line="480" w:lineRule="atLeast"/>
              <w:rPr>
                <w:rFonts w:ascii="宋体" w:hAnsi="宋体"/>
                <w:b/>
                <w:bCs/>
                <w:iCs/>
                <w:sz w:val="24"/>
                <w:szCs w:val="24"/>
              </w:rPr>
            </w:pPr>
            <w:r>
              <w:rPr>
                <w:rFonts w:hint="eastAsia" w:ascii="宋体" w:hAnsi="宋体"/>
                <w:b/>
                <w:bCs/>
                <w:iCs/>
                <w:sz w:val="24"/>
                <w:szCs w:val="24"/>
              </w:rPr>
              <w:t>附件清单（如有）</w:t>
            </w:r>
          </w:p>
        </w:tc>
        <w:tc>
          <w:tcPr>
            <w:tcW w:w="7448" w:type="dxa"/>
            <w:shd w:val="clear" w:color="auto" w:fill="auto"/>
          </w:tcPr>
          <w:p>
            <w:pPr>
              <w:spacing w:line="480" w:lineRule="atLeast"/>
              <w:rPr>
                <w:rFonts w:ascii="宋体" w:hAnsi="宋体"/>
                <w:bCs/>
                <w:iCs/>
                <w:sz w:val="24"/>
                <w:szCs w:val="24"/>
              </w:rPr>
            </w:pPr>
            <w:r>
              <w:rPr>
                <w:rFonts w:hint="eastAsia" w:ascii="宋体" w:hAnsi="宋体"/>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shd w:val="clear" w:color="auto" w:fill="auto"/>
            <w:vAlign w:val="center"/>
          </w:tcPr>
          <w:p>
            <w:pPr>
              <w:spacing w:line="480" w:lineRule="atLeast"/>
              <w:rPr>
                <w:rFonts w:ascii="宋体" w:hAnsi="宋体"/>
                <w:b/>
                <w:bCs/>
                <w:iCs/>
                <w:sz w:val="24"/>
                <w:szCs w:val="24"/>
              </w:rPr>
            </w:pPr>
            <w:r>
              <w:rPr>
                <w:rFonts w:hint="eastAsia" w:ascii="宋体" w:hAnsi="宋体"/>
                <w:b/>
                <w:bCs/>
                <w:iCs/>
                <w:sz w:val="24"/>
                <w:szCs w:val="24"/>
              </w:rPr>
              <w:t>日期</w:t>
            </w:r>
          </w:p>
        </w:tc>
        <w:tc>
          <w:tcPr>
            <w:tcW w:w="7448" w:type="dxa"/>
            <w:shd w:val="clear" w:color="auto" w:fill="auto"/>
          </w:tcPr>
          <w:p>
            <w:pPr>
              <w:spacing w:line="480" w:lineRule="atLeast"/>
              <w:rPr>
                <w:rFonts w:ascii="宋体" w:hAnsi="宋体"/>
                <w:bCs/>
                <w:iCs/>
                <w:sz w:val="24"/>
                <w:szCs w:val="24"/>
              </w:rPr>
            </w:pPr>
            <w:r>
              <w:rPr>
                <w:rFonts w:hint="eastAsia" w:ascii="宋体" w:hAnsi="宋体"/>
                <w:bCs/>
                <w:iCs/>
                <w:sz w:val="24"/>
                <w:szCs w:val="24"/>
              </w:rPr>
              <w:t>2020年</w:t>
            </w:r>
            <w:r>
              <w:rPr>
                <w:rFonts w:hint="eastAsia" w:ascii="宋体" w:hAnsi="宋体"/>
                <w:bCs/>
                <w:iCs/>
                <w:sz w:val="24"/>
                <w:szCs w:val="24"/>
                <w:lang w:val="en-US" w:eastAsia="zh-CN"/>
              </w:rPr>
              <w:t>7</w:t>
            </w:r>
            <w:r>
              <w:rPr>
                <w:rFonts w:hint="eastAsia" w:ascii="宋体" w:hAnsi="宋体"/>
                <w:bCs/>
                <w:iCs/>
                <w:sz w:val="24"/>
                <w:szCs w:val="24"/>
              </w:rPr>
              <w:t>月</w:t>
            </w:r>
            <w:r>
              <w:rPr>
                <w:rFonts w:hint="eastAsia" w:ascii="宋体" w:hAnsi="宋体"/>
                <w:bCs/>
                <w:iCs/>
                <w:sz w:val="24"/>
                <w:szCs w:val="24"/>
                <w:lang w:val="en-US" w:eastAsia="zh-CN"/>
              </w:rPr>
              <w:t>14</w:t>
            </w:r>
            <w:r>
              <w:rPr>
                <w:rFonts w:hint="eastAsia" w:ascii="宋体" w:hAnsi="宋体"/>
                <w:bCs/>
                <w:iCs/>
                <w:sz w:val="24"/>
                <w:szCs w:val="24"/>
              </w:rPr>
              <w:t>日</w:t>
            </w:r>
          </w:p>
        </w:tc>
      </w:tr>
    </w:tbl>
    <w:p/>
    <w:sectPr>
      <w:pgSz w:w="11906" w:h="16838"/>
      <w:pgMar w:top="1276"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B8"/>
    <w:rsid w:val="00026876"/>
    <w:rsid w:val="000330F0"/>
    <w:rsid w:val="00051214"/>
    <w:rsid w:val="00062A79"/>
    <w:rsid w:val="0009738A"/>
    <w:rsid w:val="000B2336"/>
    <w:rsid w:val="000D4851"/>
    <w:rsid w:val="00125E97"/>
    <w:rsid w:val="00180089"/>
    <w:rsid w:val="001B54D0"/>
    <w:rsid w:val="00220827"/>
    <w:rsid w:val="00226FA7"/>
    <w:rsid w:val="00241472"/>
    <w:rsid w:val="0027476C"/>
    <w:rsid w:val="003107CC"/>
    <w:rsid w:val="0032465C"/>
    <w:rsid w:val="00347985"/>
    <w:rsid w:val="00367B6B"/>
    <w:rsid w:val="003A1F98"/>
    <w:rsid w:val="003A1FE9"/>
    <w:rsid w:val="003A263F"/>
    <w:rsid w:val="003A6778"/>
    <w:rsid w:val="003B372F"/>
    <w:rsid w:val="003D2A9C"/>
    <w:rsid w:val="003E6850"/>
    <w:rsid w:val="00400E59"/>
    <w:rsid w:val="00404FF2"/>
    <w:rsid w:val="00406708"/>
    <w:rsid w:val="004254BB"/>
    <w:rsid w:val="004351E2"/>
    <w:rsid w:val="00454FCE"/>
    <w:rsid w:val="00464AE3"/>
    <w:rsid w:val="0048039E"/>
    <w:rsid w:val="00486B4C"/>
    <w:rsid w:val="004D0F2B"/>
    <w:rsid w:val="004D57CD"/>
    <w:rsid w:val="005277A6"/>
    <w:rsid w:val="0055470D"/>
    <w:rsid w:val="005741EF"/>
    <w:rsid w:val="00593970"/>
    <w:rsid w:val="005C5D26"/>
    <w:rsid w:val="005F2921"/>
    <w:rsid w:val="006374CA"/>
    <w:rsid w:val="0065424E"/>
    <w:rsid w:val="00664C52"/>
    <w:rsid w:val="00692757"/>
    <w:rsid w:val="006973D0"/>
    <w:rsid w:val="006E61B8"/>
    <w:rsid w:val="00710D1B"/>
    <w:rsid w:val="0074419F"/>
    <w:rsid w:val="00746150"/>
    <w:rsid w:val="00754546"/>
    <w:rsid w:val="007813E4"/>
    <w:rsid w:val="007855A1"/>
    <w:rsid w:val="0078753E"/>
    <w:rsid w:val="00791CBA"/>
    <w:rsid w:val="00814D2C"/>
    <w:rsid w:val="008267BD"/>
    <w:rsid w:val="00831931"/>
    <w:rsid w:val="00847D84"/>
    <w:rsid w:val="008614C9"/>
    <w:rsid w:val="00872101"/>
    <w:rsid w:val="00884C47"/>
    <w:rsid w:val="00893E6F"/>
    <w:rsid w:val="008A6836"/>
    <w:rsid w:val="008B1EA9"/>
    <w:rsid w:val="008B255E"/>
    <w:rsid w:val="0092034E"/>
    <w:rsid w:val="009327F3"/>
    <w:rsid w:val="00942FF6"/>
    <w:rsid w:val="00963A49"/>
    <w:rsid w:val="00991892"/>
    <w:rsid w:val="009E49BF"/>
    <w:rsid w:val="009F35B1"/>
    <w:rsid w:val="00A06FDE"/>
    <w:rsid w:val="00A30D03"/>
    <w:rsid w:val="00A4187E"/>
    <w:rsid w:val="00A612EB"/>
    <w:rsid w:val="00A70107"/>
    <w:rsid w:val="00A72707"/>
    <w:rsid w:val="00AA1D5D"/>
    <w:rsid w:val="00AA4C01"/>
    <w:rsid w:val="00AC2440"/>
    <w:rsid w:val="00AD173D"/>
    <w:rsid w:val="00B73854"/>
    <w:rsid w:val="00B8522A"/>
    <w:rsid w:val="00B8795C"/>
    <w:rsid w:val="00BB1502"/>
    <w:rsid w:val="00BE7AF9"/>
    <w:rsid w:val="00C02F6B"/>
    <w:rsid w:val="00C32C77"/>
    <w:rsid w:val="00C5701D"/>
    <w:rsid w:val="00C60329"/>
    <w:rsid w:val="00C7008C"/>
    <w:rsid w:val="00D13612"/>
    <w:rsid w:val="00D206E4"/>
    <w:rsid w:val="00D318A1"/>
    <w:rsid w:val="00D4478F"/>
    <w:rsid w:val="00D52164"/>
    <w:rsid w:val="00D541C0"/>
    <w:rsid w:val="00D6000B"/>
    <w:rsid w:val="00D64D41"/>
    <w:rsid w:val="00D67338"/>
    <w:rsid w:val="00DB2B1F"/>
    <w:rsid w:val="00DD27FD"/>
    <w:rsid w:val="00DD47A2"/>
    <w:rsid w:val="00E3310C"/>
    <w:rsid w:val="00E72664"/>
    <w:rsid w:val="00E76673"/>
    <w:rsid w:val="00E9370A"/>
    <w:rsid w:val="00E955B8"/>
    <w:rsid w:val="00EA13C5"/>
    <w:rsid w:val="00EA3A7E"/>
    <w:rsid w:val="00EC0148"/>
    <w:rsid w:val="00EC3E7C"/>
    <w:rsid w:val="00EC6F5A"/>
    <w:rsid w:val="00EE31B2"/>
    <w:rsid w:val="00F0098E"/>
    <w:rsid w:val="00F07B0F"/>
    <w:rsid w:val="00F24A71"/>
    <w:rsid w:val="00F4383F"/>
    <w:rsid w:val="00F7332E"/>
    <w:rsid w:val="00F75716"/>
    <w:rsid w:val="00F854F5"/>
    <w:rsid w:val="00F93615"/>
    <w:rsid w:val="00FB6F8D"/>
    <w:rsid w:val="00FD13E1"/>
    <w:rsid w:val="0151602E"/>
    <w:rsid w:val="086E2447"/>
    <w:rsid w:val="169E1FEE"/>
    <w:rsid w:val="18963078"/>
    <w:rsid w:val="1FF22EEF"/>
    <w:rsid w:val="2BE1300C"/>
    <w:rsid w:val="32205BCF"/>
    <w:rsid w:val="528958EE"/>
    <w:rsid w:val="570C2B54"/>
    <w:rsid w:val="63201683"/>
    <w:rsid w:val="64B46F5C"/>
    <w:rsid w:val="6542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rFonts w:ascii="Times New Roman" w:hAnsi="Times New Roman" w:eastAsia="宋体" w:cs="Times New Roman"/>
      <w:sz w:val="18"/>
      <w:szCs w:val="18"/>
    </w:rPr>
  </w:style>
  <w:style w:type="character" w:customStyle="1" w:styleId="8">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895</Characters>
  <Lines>7</Lines>
  <Paragraphs>2</Paragraphs>
  <ScaleCrop>false</ScaleCrop>
  <LinksUpToDate>false</LinksUpToDate>
  <CharactersWithSpaces>1049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2016-05-06T08:35:00Z</dcterms:created>
  <dc:creator>刘艳春</dc:creator>
  <cp:lastModifiedBy>刘艳春</cp:lastModifiedBy>
  <cp:lastPrinted>2020-07-14T06:50:00Z</cp:lastPrinted>
  <dcterms:modified xsi:type="dcterms:W3CDTF">2020-07-15T09:55:22Z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