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00" w:lineRule="exact"/>
        <w:ind w:firstLine="360" w:firstLineChars="150"/>
        <w:rPr>
          <w:rFonts w:ascii="宋体" w:hAnsi="宋体"/>
          <w:bCs/>
          <w:iCs/>
          <w:sz w:val="24"/>
        </w:rPr>
      </w:pPr>
      <w:r>
        <w:rPr>
          <w:rFonts w:hint="eastAsia" w:ascii="宋体" w:hAnsi="宋体"/>
          <w:bCs/>
          <w:iCs/>
          <w:sz w:val="24"/>
        </w:rPr>
        <w:t>证券代码：000636                           证券简称：风华高科</w:t>
      </w:r>
    </w:p>
    <w:p>
      <w:pPr>
        <w:spacing w:beforeLines="50" w:afterLines="50" w:line="400" w:lineRule="exact"/>
        <w:ind w:firstLine="360" w:firstLineChars="150"/>
        <w:rPr>
          <w:rFonts w:ascii="宋体" w:hAnsi="宋体"/>
          <w:bCs/>
          <w:iCs/>
          <w:sz w:val="24"/>
        </w:rPr>
      </w:pPr>
    </w:p>
    <w:p>
      <w:pPr>
        <w:spacing w:beforeLines="50" w:afterLines="50" w:line="400" w:lineRule="exact"/>
        <w:jc w:val="center"/>
        <w:rPr>
          <w:rFonts w:asciiTheme="majorEastAsia" w:hAnsiTheme="majorEastAsia" w:eastAsiaTheme="majorEastAsia"/>
          <w:b/>
          <w:bCs/>
          <w:iCs/>
          <w:sz w:val="30"/>
          <w:szCs w:val="30"/>
        </w:rPr>
      </w:pPr>
      <w:r>
        <w:rPr>
          <w:rFonts w:hint="eastAsia" w:asciiTheme="majorEastAsia" w:hAnsiTheme="majorEastAsia" w:eastAsiaTheme="majorEastAsia"/>
          <w:b/>
          <w:bCs/>
          <w:iCs/>
          <w:sz w:val="30"/>
          <w:szCs w:val="30"/>
        </w:rPr>
        <w:t>广东风华高新科技股份有限公司</w:t>
      </w:r>
    </w:p>
    <w:p>
      <w:pPr>
        <w:spacing w:beforeLines="50" w:afterLines="50" w:line="400" w:lineRule="exact"/>
        <w:jc w:val="center"/>
        <w:rPr>
          <w:rFonts w:asciiTheme="majorEastAsia" w:hAnsiTheme="majorEastAsia" w:eastAsiaTheme="majorEastAsia"/>
          <w:b/>
          <w:bCs/>
          <w:iCs/>
          <w:sz w:val="30"/>
          <w:szCs w:val="30"/>
        </w:rPr>
      </w:pPr>
      <w:r>
        <w:rPr>
          <w:rFonts w:hint="eastAsia" w:asciiTheme="majorEastAsia" w:hAnsiTheme="majorEastAsia" w:eastAsiaTheme="majorEastAsia"/>
          <w:b/>
          <w:bCs/>
          <w:iCs/>
          <w:sz w:val="30"/>
          <w:szCs w:val="30"/>
        </w:rPr>
        <w:t>投资者关系活动记录表</w:t>
      </w:r>
    </w:p>
    <w:p>
      <w:pPr>
        <w:spacing w:line="400" w:lineRule="exact"/>
        <w:rPr>
          <w:rFonts w:ascii="宋体" w:hAnsi="宋体"/>
          <w:bCs/>
          <w:iCs/>
          <w:sz w:val="24"/>
          <w:szCs w:val="24"/>
        </w:rPr>
      </w:pPr>
      <w:r>
        <w:rPr>
          <w:rFonts w:hint="eastAsia" w:ascii="宋体" w:hAnsi="宋体"/>
          <w:bCs/>
          <w:iCs/>
          <w:sz w:val="24"/>
          <w:szCs w:val="24"/>
        </w:rPr>
        <w:t xml:space="preserve">                                                      编号：2020-002</w:t>
      </w:r>
    </w:p>
    <w:tbl>
      <w:tblPr>
        <w:tblStyle w:val="6"/>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投资者关系活动类别</w:t>
            </w:r>
          </w:p>
          <w:p>
            <w:pPr>
              <w:spacing w:line="480" w:lineRule="atLeast"/>
              <w:rPr>
                <w:rFonts w:ascii="宋体" w:hAnsi="宋体"/>
                <w:b/>
                <w:bCs/>
                <w:iCs/>
                <w:sz w:val="24"/>
                <w:szCs w:val="24"/>
              </w:rPr>
            </w:pPr>
          </w:p>
        </w:tc>
        <w:tc>
          <w:tcPr>
            <w:tcW w:w="7548" w:type="dxa"/>
            <w:shd w:val="clear" w:color="auto" w:fill="auto"/>
          </w:tcPr>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特定对象调研        </w:t>
            </w:r>
            <w:r>
              <w:rPr>
                <w:rFonts w:hint="eastAsia" w:ascii="宋体" w:hAnsi="宋体"/>
                <w:bCs/>
                <w:iCs/>
                <w:sz w:val="24"/>
                <w:szCs w:val="24"/>
              </w:rPr>
              <w:t>□</w:t>
            </w:r>
            <w:r>
              <w:rPr>
                <w:rFonts w:hint="eastAsia" w:ascii="宋体" w:hAnsi="宋体"/>
                <w:sz w:val="24"/>
                <w:szCs w:val="24"/>
              </w:rPr>
              <w:t>分析师会议</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媒体采访            </w:t>
            </w:r>
            <w:r>
              <w:rPr>
                <w:rFonts w:hint="eastAsia" w:ascii="宋体" w:hAnsi="宋体"/>
                <w:bCs/>
                <w:iCs/>
                <w:sz w:val="24"/>
                <w:szCs w:val="24"/>
              </w:rPr>
              <w:t>□</w:t>
            </w:r>
            <w:r>
              <w:rPr>
                <w:rFonts w:hint="eastAsia" w:ascii="宋体" w:hAnsi="宋体"/>
                <w:sz w:val="24"/>
                <w:szCs w:val="24"/>
              </w:rPr>
              <w:t>业绩说明会</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hint="eastAsia" w:ascii="宋体" w:hAnsi="宋体"/>
                <w:bCs/>
                <w:iCs/>
                <w:sz w:val="24"/>
                <w:szCs w:val="24"/>
              </w:rPr>
              <w:t>□</w:t>
            </w:r>
            <w:r>
              <w:rPr>
                <w:rFonts w:hint="eastAsia" w:ascii="宋体" w:hAnsi="宋体"/>
                <w:sz w:val="24"/>
                <w:szCs w:val="24"/>
              </w:rPr>
              <w:t>路演活动</w:t>
            </w:r>
          </w:p>
          <w:p>
            <w:pPr>
              <w:tabs>
                <w:tab w:val="left" w:pos="3045"/>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现场参观</w:t>
            </w:r>
            <w:r>
              <w:rPr>
                <w:rFonts w:ascii="宋体" w:hAnsi="宋体"/>
                <w:bCs/>
                <w:iCs/>
                <w:sz w:val="24"/>
                <w:szCs w:val="24"/>
              </w:rPr>
              <w:tab/>
            </w:r>
          </w:p>
          <w:p>
            <w:pPr>
              <w:tabs>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其他 （</w:t>
            </w:r>
            <w:r>
              <w:rPr>
                <w:rFonts w:hint="eastAsia" w:ascii="宋体" w:hAnsi="宋体"/>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参与单位名称</w:t>
            </w:r>
          </w:p>
        </w:tc>
        <w:tc>
          <w:tcPr>
            <w:tcW w:w="7548" w:type="dxa"/>
            <w:shd w:val="clear" w:color="auto" w:fill="auto"/>
          </w:tcPr>
          <w:p>
            <w:pPr>
              <w:spacing w:line="480" w:lineRule="atLeast"/>
              <w:rPr>
                <w:rFonts w:ascii="宋体" w:hAnsi="宋体"/>
                <w:bCs/>
                <w:iCs/>
                <w:sz w:val="24"/>
                <w:szCs w:val="24"/>
              </w:rPr>
            </w:pPr>
            <w:r>
              <w:rPr>
                <w:rFonts w:ascii="宋体" w:hAnsi="宋体"/>
                <w:bCs/>
                <w:iCs/>
                <w:sz w:val="24"/>
                <w:szCs w:val="24"/>
              </w:rPr>
              <w:t>华创证券</w:t>
            </w:r>
            <w:r>
              <w:rPr>
                <w:rFonts w:hint="eastAsia" w:ascii="宋体" w:hAnsi="宋体"/>
                <w:bCs/>
                <w:iCs/>
                <w:sz w:val="24"/>
                <w:szCs w:val="24"/>
              </w:rPr>
              <w:t>、</w:t>
            </w:r>
            <w:r>
              <w:rPr>
                <w:rFonts w:ascii="宋体" w:hAnsi="宋体"/>
                <w:bCs/>
                <w:iCs/>
                <w:sz w:val="24"/>
                <w:szCs w:val="24"/>
              </w:rPr>
              <w:t>兴业证券</w:t>
            </w:r>
            <w:r>
              <w:rPr>
                <w:rFonts w:hint="eastAsia" w:ascii="宋体" w:hAnsi="宋体"/>
                <w:bCs/>
                <w:iCs/>
                <w:sz w:val="24"/>
                <w:szCs w:val="24"/>
              </w:rPr>
              <w:t>、信诚中富、圆石投资、</w:t>
            </w:r>
            <w:r>
              <w:rPr>
                <w:rFonts w:hint="eastAsia" w:ascii="宋体" w:hAnsi="宋体"/>
                <w:bCs/>
                <w:iCs/>
                <w:sz w:val="24"/>
                <w:szCs w:val="24"/>
                <w:lang w:eastAsia="zh-CN"/>
              </w:rPr>
              <w:t>长城</w:t>
            </w:r>
            <w:r>
              <w:rPr>
                <w:rFonts w:ascii="宋体" w:hAnsi="宋体"/>
                <w:bCs/>
                <w:iCs/>
                <w:sz w:val="24"/>
                <w:szCs w:val="24"/>
              </w:rPr>
              <w:t>基金</w:t>
            </w:r>
            <w:r>
              <w:rPr>
                <w:rFonts w:hint="eastAsia" w:ascii="宋体" w:hAnsi="宋体"/>
                <w:bCs/>
                <w:iCs/>
                <w:sz w:val="24"/>
                <w:szCs w:val="24"/>
              </w:rPr>
              <w:t>、</w:t>
            </w:r>
            <w:r>
              <w:rPr>
                <w:rFonts w:hint="eastAsia" w:ascii="宋体" w:hAnsi="宋体"/>
                <w:bCs/>
                <w:iCs/>
                <w:sz w:val="24"/>
                <w:szCs w:val="24"/>
                <w:lang w:eastAsia="zh-CN"/>
              </w:rPr>
              <w:t>广发证券、</w:t>
            </w:r>
            <w:r>
              <w:rPr>
                <w:rFonts w:hint="eastAsia" w:ascii="宋体" w:hAnsi="宋体"/>
                <w:bCs/>
                <w:iCs/>
                <w:sz w:val="24"/>
                <w:szCs w:val="24"/>
              </w:rPr>
              <w:t>华美国际投资</w:t>
            </w:r>
            <w:r>
              <w:rPr>
                <w:rFonts w:ascii="宋体" w:hAnsi="宋体"/>
                <w:bCs/>
                <w:iCs/>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时间</w:t>
            </w:r>
          </w:p>
        </w:tc>
        <w:tc>
          <w:tcPr>
            <w:tcW w:w="7548" w:type="dxa"/>
            <w:shd w:val="clear" w:color="auto" w:fill="auto"/>
          </w:tcPr>
          <w:p>
            <w:pPr>
              <w:spacing w:line="480" w:lineRule="atLeast"/>
              <w:rPr>
                <w:rFonts w:ascii="宋体" w:hAnsi="宋体"/>
                <w:bCs/>
                <w:iCs/>
                <w:sz w:val="24"/>
                <w:szCs w:val="24"/>
              </w:rPr>
            </w:pPr>
            <w:r>
              <w:rPr>
                <w:rFonts w:hint="eastAsia" w:ascii="宋体" w:hAnsi="宋体"/>
                <w:bCs/>
                <w:iCs/>
                <w:sz w:val="24"/>
                <w:szCs w:val="24"/>
              </w:rPr>
              <w:t>2020年</w:t>
            </w:r>
            <w:r>
              <w:rPr>
                <w:rFonts w:ascii="宋体" w:hAnsi="宋体"/>
                <w:bCs/>
                <w:iCs/>
                <w:sz w:val="24"/>
                <w:szCs w:val="24"/>
              </w:rPr>
              <w:t>8</w:t>
            </w:r>
            <w:r>
              <w:rPr>
                <w:rFonts w:hint="eastAsia" w:ascii="宋体" w:hAnsi="宋体"/>
                <w:bCs/>
                <w:iCs/>
                <w:sz w:val="24"/>
                <w:szCs w:val="24"/>
              </w:rPr>
              <w:t>月</w:t>
            </w:r>
            <w:r>
              <w:rPr>
                <w:rFonts w:ascii="宋体" w:hAnsi="宋体"/>
                <w:bCs/>
                <w:iCs/>
                <w:sz w:val="24"/>
                <w:szCs w:val="24"/>
              </w:rPr>
              <w:t>31</w:t>
            </w:r>
            <w:r>
              <w:rPr>
                <w:rFonts w:hint="eastAsia" w:ascii="宋体" w:hAnsi="宋体"/>
                <w:bCs/>
                <w:iCs/>
                <w:sz w:val="24"/>
                <w:szCs w:val="24"/>
              </w:rPr>
              <w:t>日下午15:00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地点</w:t>
            </w:r>
          </w:p>
        </w:tc>
        <w:tc>
          <w:tcPr>
            <w:tcW w:w="7548" w:type="dxa"/>
            <w:shd w:val="clear" w:color="auto" w:fill="auto"/>
          </w:tcPr>
          <w:p>
            <w:pPr>
              <w:spacing w:line="480" w:lineRule="atLeast"/>
              <w:rPr>
                <w:rFonts w:ascii="宋体" w:hAnsi="宋体"/>
                <w:bCs/>
                <w:iCs/>
                <w:sz w:val="24"/>
                <w:szCs w:val="24"/>
              </w:rPr>
            </w:pPr>
            <w:r>
              <w:rPr>
                <w:rFonts w:hint="eastAsia" w:ascii="宋体" w:hAnsi="宋体"/>
                <w:bCs/>
                <w:iCs/>
                <w:sz w:val="24"/>
                <w:szCs w:val="24"/>
              </w:rPr>
              <w:t>广东省肇庆市风华路18号风华电子城公司会议室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tcPr>
          <w:p>
            <w:pPr>
              <w:spacing w:line="480" w:lineRule="atLeast"/>
              <w:rPr>
                <w:rFonts w:ascii="宋体" w:hAnsi="宋体"/>
                <w:b/>
                <w:bCs/>
                <w:iCs/>
                <w:sz w:val="24"/>
                <w:szCs w:val="24"/>
              </w:rPr>
            </w:pPr>
            <w:r>
              <w:rPr>
                <w:rFonts w:hint="eastAsia" w:ascii="宋体" w:hAnsi="宋体"/>
                <w:b/>
                <w:bCs/>
                <w:iCs/>
                <w:sz w:val="24"/>
                <w:szCs w:val="24"/>
              </w:rPr>
              <w:t>上市公司接待人员姓名</w:t>
            </w:r>
          </w:p>
        </w:tc>
        <w:tc>
          <w:tcPr>
            <w:tcW w:w="7548" w:type="dxa"/>
            <w:shd w:val="clear" w:color="auto" w:fill="auto"/>
            <w:vAlign w:val="center"/>
          </w:tcPr>
          <w:p>
            <w:pPr>
              <w:spacing w:line="480" w:lineRule="atLeast"/>
              <w:rPr>
                <w:rFonts w:ascii="宋体" w:hAnsi="宋体"/>
                <w:bCs/>
                <w:iCs/>
                <w:sz w:val="24"/>
                <w:szCs w:val="24"/>
              </w:rPr>
            </w:pPr>
            <w:r>
              <w:rPr>
                <w:rFonts w:hint="eastAsia" w:ascii="宋体" w:hAnsi="宋体"/>
                <w:bCs/>
                <w:iCs/>
                <w:sz w:val="24"/>
                <w:szCs w:val="24"/>
              </w:rPr>
              <w:t>董事会秘书陈绪运先生及投资与证券事务部工作人员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1808" w:type="dxa"/>
            <w:shd w:val="clear" w:color="auto" w:fill="auto"/>
            <w:vAlign w:val="center"/>
          </w:tcPr>
          <w:p>
            <w:pPr>
              <w:spacing w:line="480" w:lineRule="atLeast"/>
              <w:rPr>
                <w:rFonts w:ascii="宋体" w:hAnsi="宋体"/>
                <w:b/>
                <w:bCs/>
                <w:iCs/>
                <w:sz w:val="24"/>
                <w:szCs w:val="24"/>
              </w:rPr>
            </w:pPr>
            <w:r>
              <w:rPr>
                <w:rFonts w:hint="eastAsia" w:ascii="宋体" w:hAnsi="宋体"/>
                <w:b/>
                <w:bCs/>
                <w:iCs/>
                <w:sz w:val="24"/>
                <w:szCs w:val="24"/>
              </w:rPr>
              <w:t>投资者关系活动主要内容介绍</w:t>
            </w:r>
          </w:p>
          <w:p>
            <w:pPr>
              <w:spacing w:line="480" w:lineRule="atLeast"/>
              <w:rPr>
                <w:rFonts w:ascii="宋体" w:hAnsi="宋体"/>
                <w:b/>
                <w:bCs/>
                <w:iCs/>
                <w:sz w:val="24"/>
                <w:szCs w:val="24"/>
              </w:rPr>
            </w:pPr>
          </w:p>
        </w:tc>
        <w:tc>
          <w:tcPr>
            <w:tcW w:w="7548" w:type="dxa"/>
            <w:shd w:val="clear" w:color="auto" w:fill="auto"/>
          </w:tcPr>
          <w:p>
            <w:pPr>
              <w:spacing w:line="480" w:lineRule="atLeast"/>
              <w:ind w:firstLine="465"/>
              <w:rPr>
                <w:rFonts w:ascii="宋体" w:hAnsi="宋体"/>
                <w:b/>
                <w:bCs/>
                <w:iCs/>
                <w:sz w:val="24"/>
                <w:szCs w:val="24"/>
              </w:rPr>
            </w:pPr>
            <w:r>
              <w:rPr>
                <w:rFonts w:hint="eastAsia" w:ascii="宋体" w:hAnsi="宋体"/>
                <w:b/>
                <w:bCs/>
                <w:iCs/>
                <w:sz w:val="24"/>
                <w:szCs w:val="24"/>
              </w:rPr>
              <w:t>问题</w:t>
            </w:r>
            <w:r>
              <w:rPr>
                <w:rFonts w:hint="eastAsia" w:ascii="宋体" w:hAnsi="宋体"/>
                <w:b/>
                <w:bCs/>
                <w:iCs/>
                <w:sz w:val="24"/>
                <w:szCs w:val="24"/>
                <w:lang w:val="en-US" w:eastAsia="zh-CN"/>
              </w:rPr>
              <w:t>1</w:t>
            </w:r>
            <w:r>
              <w:rPr>
                <w:rFonts w:hint="eastAsia" w:ascii="宋体" w:hAnsi="宋体"/>
                <w:b/>
                <w:bCs/>
                <w:iCs/>
                <w:sz w:val="24"/>
                <w:szCs w:val="24"/>
              </w:rPr>
              <w:t>：公司2020年半年报的解读。</w:t>
            </w:r>
          </w:p>
          <w:p>
            <w:pPr>
              <w:spacing w:line="480" w:lineRule="atLeast"/>
              <w:ind w:firstLine="465"/>
              <w:rPr>
                <w:rFonts w:hint="eastAsia" w:ascii="宋体" w:hAnsi="宋体"/>
                <w:b/>
                <w:bCs/>
                <w:iCs/>
                <w:sz w:val="24"/>
                <w:szCs w:val="24"/>
              </w:rPr>
            </w:pPr>
            <w:r>
              <w:rPr>
                <w:rFonts w:hint="eastAsia" w:ascii="宋体" w:hAnsi="宋体"/>
                <w:bCs/>
                <w:iCs/>
                <w:sz w:val="24"/>
                <w:szCs w:val="24"/>
              </w:rPr>
              <w:t>答：公司2020年半年报已于8月28日披露。报告期，公司主营产品市场价格稳定、产销同比增长，除一、二月份受春节假期及新冠肺炎疫情影响导致销售及利润同比下降以外，其他单月销售及盈利同比实现大幅增长，并呈现逐月上升趋势。报告期，公司实现营业收入17.76亿元，同比增长10.04%；</w:t>
            </w:r>
            <w:r>
              <w:rPr>
                <w:rFonts w:hint="eastAsia" w:ascii="宋体" w:hAnsi="宋体"/>
                <w:bCs/>
                <w:iCs/>
                <w:sz w:val="24"/>
                <w:szCs w:val="24"/>
                <w:lang w:eastAsia="zh-CN"/>
              </w:rPr>
              <w:t>净</w:t>
            </w:r>
            <w:r>
              <w:rPr>
                <w:rFonts w:hint="eastAsia" w:ascii="宋体" w:hAnsi="宋体"/>
                <w:bCs/>
                <w:iCs/>
                <w:sz w:val="24"/>
                <w:szCs w:val="24"/>
              </w:rPr>
              <w:t>利润同比下降主要</w:t>
            </w:r>
            <w:r>
              <w:rPr>
                <w:rFonts w:hint="eastAsia" w:ascii="宋体" w:hAnsi="宋体"/>
                <w:bCs/>
                <w:iCs/>
                <w:sz w:val="24"/>
                <w:szCs w:val="24"/>
                <w:lang w:eastAsia="zh-CN"/>
              </w:rPr>
              <w:t>系</w:t>
            </w:r>
            <w:r>
              <w:rPr>
                <w:rFonts w:hint="eastAsia" w:ascii="宋体" w:hAnsi="宋体"/>
                <w:bCs/>
                <w:iCs/>
                <w:sz w:val="24"/>
                <w:szCs w:val="24"/>
              </w:rPr>
              <w:t>报告期公司根据投资者诉讼案件一审判决结果计提预计负债</w:t>
            </w:r>
            <w:r>
              <w:rPr>
                <w:rFonts w:hint="eastAsia" w:ascii="宋体" w:hAnsi="宋体"/>
                <w:bCs/>
                <w:iCs/>
                <w:sz w:val="24"/>
                <w:szCs w:val="24"/>
                <w:lang w:eastAsia="zh-CN"/>
              </w:rPr>
              <w:t>所致，报告期公司</w:t>
            </w:r>
            <w:r>
              <w:rPr>
                <w:rFonts w:hint="eastAsia" w:ascii="宋体" w:hAnsi="宋体"/>
                <w:bCs/>
                <w:iCs/>
                <w:sz w:val="24"/>
                <w:szCs w:val="24"/>
              </w:rPr>
              <w:t>实现扣非净利润2</w:t>
            </w:r>
            <w:r>
              <w:rPr>
                <w:rFonts w:hint="eastAsia" w:ascii="宋体" w:hAnsi="宋体"/>
                <w:bCs/>
                <w:iCs/>
                <w:sz w:val="24"/>
                <w:szCs w:val="24"/>
                <w:lang w:val="en-US" w:eastAsia="zh-CN"/>
              </w:rPr>
              <w:t>.</w:t>
            </w:r>
            <w:r>
              <w:rPr>
                <w:rFonts w:hint="eastAsia" w:ascii="宋体" w:hAnsi="宋体"/>
                <w:bCs/>
                <w:iCs/>
                <w:sz w:val="24"/>
                <w:szCs w:val="24"/>
              </w:rPr>
              <w:t>78</w:t>
            </w:r>
            <w:r>
              <w:rPr>
                <w:rFonts w:hint="eastAsia" w:ascii="宋体" w:hAnsi="宋体"/>
                <w:bCs/>
                <w:iCs/>
                <w:sz w:val="24"/>
                <w:szCs w:val="24"/>
                <w:lang w:eastAsia="zh-CN"/>
              </w:rPr>
              <w:t>亿元</w:t>
            </w:r>
            <w:r>
              <w:rPr>
                <w:rFonts w:hint="eastAsia" w:ascii="宋体" w:hAnsi="宋体"/>
                <w:bCs/>
                <w:iCs/>
                <w:sz w:val="24"/>
                <w:szCs w:val="24"/>
              </w:rPr>
              <w:t>，同比增长6.69%。公司2020年上半年具体经营情况及财务数据详见公司于巨潮资讯网（</w:t>
            </w:r>
            <w:r>
              <w:fldChar w:fldCharType="begin"/>
            </w:r>
            <w:r>
              <w:instrText xml:space="preserve"> HYPERLINK "http://www.cninfo.com.cn/" </w:instrText>
            </w:r>
            <w:r>
              <w:fldChar w:fldCharType="separate"/>
            </w:r>
            <w:r>
              <w:rPr>
                <w:rStyle w:val="5"/>
              </w:rPr>
              <w:t>http://www.cninfo.com.cn</w:t>
            </w:r>
            <w:r>
              <w:rPr>
                <w:rStyle w:val="5"/>
              </w:rPr>
              <w:fldChar w:fldCharType="end"/>
            </w:r>
            <w:r>
              <w:rPr>
                <w:rFonts w:hint="eastAsia" w:ascii="宋体" w:hAnsi="宋体"/>
                <w:bCs/>
                <w:iCs/>
                <w:sz w:val="24"/>
                <w:szCs w:val="24"/>
              </w:rPr>
              <w:t>）披露的2020年半年度报告。</w:t>
            </w:r>
          </w:p>
          <w:p>
            <w:pPr>
              <w:spacing w:line="480" w:lineRule="atLeast"/>
              <w:ind w:firstLine="465"/>
              <w:rPr>
                <w:rFonts w:ascii="宋体" w:hAnsi="宋体"/>
                <w:b/>
                <w:bCs/>
                <w:iCs/>
                <w:sz w:val="24"/>
                <w:szCs w:val="24"/>
              </w:rPr>
            </w:pPr>
            <w:r>
              <w:rPr>
                <w:rFonts w:hint="eastAsia" w:ascii="宋体" w:hAnsi="宋体"/>
                <w:b/>
                <w:bCs/>
                <w:iCs/>
                <w:sz w:val="24"/>
                <w:szCs w:val="24"/>
              </w:rPr>
              <w:t>问题</w:t>
            </w:r>
            <w:r>
              <w:rPr>
                <w:rFonts w:hint="eastAsia" w:ascii="宋体" w:hAnsi="宋体"/>
                <w:b/>
                <w:bCs/>
                <w:iCs/>
                <w:sz w:val="24"/>
                <w:szCs w:val="24"/>
                <w:lang w:val="en-US" w:eastAsia="zh-CN"/>
              </w:rPr>
              <w:t>2</w:t>
            </w:r>
            <w:r>
              <w:rPr>
                <w:rFonts w:hint="eastAsia" w:ascii="宋体" w:hAnsi="宋体"/>
                <w:b/>
                <w:bCs/>
                <w:iCs/>
                <w:sz w:val="24"/>
                <w:szCs w:val="24"/>
              </w:rPr>
              <w:t>：</w:t>
            </w:r>
            <w:r>
              <w:rPr>
                <w:rFonts w:hint="eastAsia" w:ascii="宋体" w:hAnsi="宋体"/>
                <w:b/>
                <w:bCs/>
                <w:iCs/>
                <w:sz w:val="24"/>
                <w:szCs w:val="24"/>
                <w:lang w:eastAsia="zh-CN"/>
              </w:rPr>
              <w:t>公司</w:t>
            </w:r>
            <w:r>
              <w:rPr>
                <w:rFonts w:hint="eastAsia" w:ascii="宋体" w:hAnsi="宋体"/>
                <w:b/>
                <w:bCs/>
                <w:iCs/>
                <w:sz w:val="24"/>
                <w:szCs w:val="24"/>
              </w:rPr>
              <w:t>56亿只MLCC扩产项目</w:t>
            </w:r>
            <w:r>
              <w:rPr>
                <w:rFonts w:hint="eastAsia" w:ascii="宋体" w:hAnsi="宋体"/>
                <w:b/>
                <w:bCs/>
                <w:iCs/>
                <w:sz w:val="24"/>
                <w:szCs w:val="24"/>
                <w:lang w:eastAsia="zh-CN"/>
              </w:rPr>
              <w:t>及祥和工业园</w:t>
            </w:r>
            <w:r>
              <w:rPr>
                <w:rFonts w:hint="eastAsia" w:ascii="宋体" w:hAnsi="宋体"/>
                <w:b/>
                <w:bCs/>
                <w:iCs/>
                <w:sz w:val="24"/>
                <w:szCs w:val="24"/>
              </w:rPr>
              <w:t>项目进度如何</w:t>
            </w:r>
            <w:r>
              <w:rPr>
                <w:rFonts w:hint="eastAsia" w:ascii="宋体" w:hAnsi="宋体"/>
                <w:b/>
                <w:bCs/>
                <w:iCs/>
                <w:sz w:val="24"/>
                <w:szCs w:val="24"/>
                <w:lang w:eastAsia="zh-CN"/>
              </w:rPr>
              <w:t>？</w:t>
            </w:r>
          </w:p>
          <w:p>
            <w:pPr>
              <w:spacing w:line="360" w:lineRule="auto"/>
              <w:ind w:firstLine="480" w:firstLineChars="200"/>
              <w:jc w:val="left"/>
              <w:rPr>
                <w:rFonts w:ascii="宋体" w:hAnsi="宋体"/>
                <w:bCs/>
                <w:iCs/>
                <w:sz w:val="24"/>
                <w:szCs w:val="24"/>
              </w:rPr>
            </w:pPr>
            <w:r>
              <w:rPr>
                <w:rFonts w:hint="eastAsia" w:ascii="宋体" w:hAnsi="宋体"/>
                <w:bCs/>
                <w:iCs/>
                <w:sz w:val="24"/>
                <w:szCs w:val="24"/>
              </w:rPr>
              <w:t>答：</w:t>
            </w:r>
            <w:r>
              <w:rPr>
                <w:rFonts w:ascii="宋体" w:hAnsi="宋体"/>
                <w:bCs/>
                <w:iCs/>
                <w:sz w:val="24"/>
                <w:szCs w:val="24"/>
              </w:rPr>
              <w:t xml:space="preserve"> </w:t>
            </w:r>
            <w:r>
              <w:rPr>
                <w:rFonts w:hint="eastAsia" w:ascii="宋体" w:hAnsi="宋体"/>
                <w:bCs/>
                <w:iCs/>
                <w:sz w:val="24"/>
                <w:szCs w:val="24"/>
              </w:rPr>
              <w:t>公司于2018年8月31日及2020年3月13日分别披露了《关于投资新增月产56亿只MLCC技改扩产项目的公告》和《</w:t>
            </w:r>
            <w:r>
              <w:rPr>
                <w:rFonts w:ascii="宋体" w:hAnsi="宋体"/>
                <w:bCs/>
                <w:iCs/>
                <w:sz w:val="24"/>
                <w:szCs w:val="24"/>
              </w:rPr>
              <w:t>关于投资建设祥和工业园高端电容基地项目的公告</w:t>
            </w:r>
            <w:r>
              <w:rPr>
                <w:rFonts w:hint="eastAsia" w:ascii="宋体" w:hAnsi="宋体"/>
                <w:bCs/>
                <w:iCs/>
                <w:sz w:val="24"/>
                <w:szCs w:val="24"/>
              </w:rPr>
              <w:t>》。</w:t>
            </w:r>
            <w:r>
              <w:rPr>
                <w:rFonts w:hint="eastAsia" w:ascii="宋体" w:hAnsi="宋体"/>
                <w:bCs/>
                <w:iCs/>
                <w:sz w:val="24"/>
                <w:szCs w:val="24"/>
                <w:lang w:eastAsia="zh-CN"/>
              </w:rPr>
              <w:t>截至</w:t>
            </w:r>
            <w:r>
              <w:rPr>
                <w:rFonts w:hint="eastAsia" w:ascii="宋体" w:hAnsi="宋体"/>
                <w:bCs/>
                <w:iCs/>
                <w:sz w:val="24"/>
                <w:szCs w:val="24"/>
                <w:lang w:val="en-US" w:eastAsia="zh-CN"/>
              </w:rPr>
              <w:t>2020年上半年，新增月产56亿只MLCC技改扩产项目投资进度为82.69%，</w:t>
            </w:r>
            <w:r>
              <w:rPr>
                <w:rFonts w:hint="eastAsia" w:ascii="宋体" w:hAnsi="宋体"/>
                <w:bCs/>
                <w:iCs/>
                <w:sz w:val="24"/>
                <w:szCs w:val="24"/>
              </w:rPr>
              <w:t>目前</w:t>
            </w:r>
            <w:r>
              <w:rPr>
                <w:rFonts w:hint="eastAsia" w:ascii="宋体" w:hAnsi="宋体"/>
                <w:bCs/>
                <w:iCs/>
                <w:sz w:val="24"/>
                <w:szCs w:val="24"/>
                <w:lang w:eastAsia="zh-CN"/>
              </w:rPr>
              <w:t>生产</w:t>
            </w:r>
            <w:r>
              <w:rPr>
                <w:rFonts w:hint="eastAsia" w:ascii="宋体" w:hAnsi="宋体"/>
                <w:bCs/>
                <w:iCs/>
                <w:sz w:val="24"/>
                <w:szCs w:val="24"/>
              </w:rPr>
              <w:t>设备</w:t>
            </w:r>
            <w:r>
              <w:rPr>
                <w:rFonts w:hint="eastAsia" w:ascii="宋体" w:hAnsi="宋体"/>
                <w:bCs/>
                <w:iCs/>
                <w:sz w:val="24"/>
                <w:szCs w:val="24"/>
                <w:lang w:eastAsia="zh-CN"/>
              </w:rPr>
              <w:t>已到位正处于安装</w:t>
            </w:r>
            <w:r>
              <w:rPr>
                <w:rFonts w:hint="eastAsia" w:ascii="宋体" w:hAnsi="宋体"/>
                <w:bCs/>
                <w:iCs/>
                <w:sz w:val="24"/>
                <w:szCs w:val="24"/>
              </w:rPr>
              <w:t>调试</w:t>
            </w:r>
            <w:r>
              <w:rPr>
                <w:rFonts w:hint="eastAsia" w:ascii="宋体" w:hAnsi="宋体"/>
                <w:bCs/>
                <w:iCs/>
                <w:sz w:val="24"/>
                <w:szCs w:val="24"/>
                <w:lang w:eastAsia="zh-CN"/>
              </w:rPr>
              <w:t>阶段。</w:t>
            </w:r>
            <w:r>
              <w:rPr>
                <w:rFonts w:hint="eastAsia" w:ascii="宋体" w:hAnsi="宋体"/>
                <w:bCs/>
                <w:iCs/>
                <w:sz w:val="24"/>
                <w:szCs w:val="24"/>
                <w:lang w:val="en-US" w:eastAsia="zh-CN"/>
              </w:rPr>
              <w:t>祥和工业园高端电容基地建设项目投资进度为22.47%，</w:t>
            </w:r>
            <w:r>
              <w:rPr>
                <w:rFonts w:hint="eastAsia" w:ascii="宋体" w:hAnsi="宋体"/>
                <w:bCs/>
                <w:iCs/>
                <w:sz w:val="24"/>
                <w:szCs w:val="24"/>
                <w:lang w:eastAsia="zh-CN"/>
              </w:rPr>
              <w:t>项目</w:t>
            </w:r>
            <w:r>
              <w:rPr>
                <w:rFonts w:hint="eastAsia" w:ascii="宋体" w:hAnsi="宋体"/>
                <w:bCs/>
                <w:iCs/>
                <w:sz w:val="24"/>
                <w:szCs w:val="24"/>
              </w:rPr>
              <w:t>一期</w:t>
            </w:r>
            <w:r>
              <w:rPr>
                <w:rFonts w:hint="eastAsia" w:ascii="宋体" w:hAnsi="宋体"/>
                <w:bCs/>
                <w:iCs/>
                <w:sz w:val="24"/>
                <w:szCs w:val="24"/>
                <w:lang w:eastAsia="zh-CN"/>
              </w:rPr>
              <w:t>生产</w:t>
            </w:r>
            <w:r>
              <w:rPr>
                <w:rFonts w:hint="eastAsia" w:ascii="宋体" w:hAnsi="宋体"/>
                <w:bCs/>
                <w:iCs/>
                <w:sz w:val="24"/>
                <w:szCs w:val="24"/>
              </w:rPr>
              <w:t>设备已完成采购招标</w:t>
            </w:r>
            <w:r>
              <w:rPr>
                <w:rFonts w:hint="eastAsia" w:ascii="宋体" w:hAnsi="宋体"/>
                <w:bCs/>
                <w:iCs/>
                <w:sz w:val="24"/>
                <w:szCs w:val="24"/>
                <w:lang w:eastAsia="zh-CN"/>
              </w:rPr>
              <w:t>流程</w:t>
            </w:r>
            <w:r>
              <w:rPr>
                <w:rFonts w:hint="eastAsia" w:ascii="宋体" w:hAnsi="宋体"/>
                <w:bCs/>
                <w:iCs/>
                <w:sz w:val="24"/>
                <w:szCs w:val="24"/>
              </w:rPr>
              <w:t>，</w:t>
            </w:r>
            <w:r>
              <w:rPr>
                <w:rFonts w:hint="eastAsia" w:ascii="宋体" w:hAnsi="宋体"/>
                <w:bCs/>
                <w:iCs/>
                <w:sz w:val="24"/>
                <w:szCs w:val="24"/>
                <w:lang w:eastAsia="zh-CN"/>
              </w:rPr>
              <w:t>目前正在对项目</w:t>
            </w:r>
            <w:r>
              <w:rPr>
                <w:rFonts w:ascii="宋体" w:hAnsi="宋体"/>
                <w:bCs/>
                <w:iCs/>
                <w:sz w:val="24"/>
                <w:szCs w:val="24"/>
              </w:rPr>
              <w:t>一期</w:t>
            </w:r>
            <w:r>
              <w:rPr>
                <w:rFonts w:hint="eastAsia" w:ascii="宋体" w:hAnsi="宋体"/>
                <w:bCs/>
                <w:iCs/>
                <w:sz w:val="24"/>
                <w:szCs w:val="24"/>
                <w:lang w:eastAsia="zh-CN"/>
              </w:rPr>
              <w:t>生产</w:t>
            </w:r>
            <w:r>
              <w:rPr>
                <w:rFonts w:ascii="宋体" w:hAnsi="宋体"/>
                <w:bCs/>
                <w:iCs/>
                <w:sz w:val="24"/>
                <w:szCs w:val="24"/>
              </w:rPr>
              <w:t>厂房</w:t>
            </w:r>
            <w:r>
              <w:rPr>
                <w:rFonts w:hint="eastAsia" w:ascii="宋体" w:hAnsi="宋体"/>
                <w:bCs/>
                <w:iCs/>
                <w:sz w:val="24"/>
                <w:szCs w:val="24"/>
                <w:lang w:eastAsia="zh-CN"/>
              </w:rPr>
              <w:t>进行</w:t>
            </w:r>
            <w:r>
              <w:rPr>
                <w:rFonts w:hint="eastAsia" w:ascii="宋体" w:hAnsi="宋体"/>
                <w:bCs/>
                <w:iCs/>
                <w:sz w:val="24"/>
                <w:szCs w:val="24"/>
              </w:rPr>
              <w:t>加固</w:t>
            </w:r>
            <w:r>
              <w:rPr>
                <w:rFonts w:hint="eastAsia" w:ascii="宋体" w:hAnsi="宋体"/>
                <w:bCs/>
                <w:iCs/>
                <w:sz w:val="24"/>
                <w:szCs w:val="24"/>
                <w:lang w:eastAsia="zh-CN"/>
              </w:rPr>
              <w:t>改造及</w:t>
            </w:r>
            <w:r>
              <w:rPr>
                <w:rFonts w:hint="eastAsia" w:ascii="宋体" w:hAnsi="宋体"/>
                <w:bCs/>
                <w:iCs/>
                <w:sz w:val="24"/>
                <w:szCs w:val="24"/>
              </w:rPr>
              <w:t>装修</w:t>
            </w:r>
            <w:r>
              <w:rPr>
                <w:rFonts w:hint="eastAsia" w:ascii="宋体" w:hAnsi="宋体"/>
                <w:bCs/>
                <w:iCs/>
                <w:sz w:val="24"/>
                <w:szCs w:val="24"/>
                <w:lang w:eastAsia="zh-CN"/>
              </w:rPr>
              <w:t>作业</w:t>
            </w:r>
            <w:r>
              <w:rPr>
                <w:rFonts w:ascii="宋体" w:hAnsi="宋体"/>
                <w:bCs/>
                <w:iCs/>
                <w:sz w:val="24"/>
                <w:szCs w:val="24"/>
              </w:rPr>
              <w:t>。</w:t>
            </w:r>
          </w:p>
          <w:p>
            <w:pPr>
              <w:spacing w:line="360" w:lineRule="auto"/>
              <w:ind w:firstLine="482" w:firstLineChars="200"/>
              <w:jc w:val="left"/>
              <w:rPr>
                <w:rFonts w:hint="eastAsia" w:ascii="宋体" w:hAnsi="宋体"/>
                <w:b/>
                <w:bCs/>
                <w:iCs/>
                <w:sz w:val="24"/>
                <w:szCs w:val="24"/>
                <w:lang w:val="en-US" w:eastAsia="zh-CN"/>
              </w:rPr>
            </w:pPr>
            <w:r>
              <w:rPr>
                <w:rFonts w:hint="eastAsia" w:ascii="宋体" w:hAnsi="宋体"/>
                <w:b/>
                <w:bCs/>
                <w:iCs/>
                <w:sz w:val="24"/>
                <w:szCs w:val="24"/>
              </w:rPr>
              <w:t>问题</w:t>
            </w:r>
            <w:r>
              <w:rPr>
                <w:rFonts w:hint="eastAsia" w:ascii="宋体" w:hAnsi="宋体"/>
                <w:b/>
                <w:bCs/>
                <w:iCs/>
                <w:sz w:val="24"/>
                <w:szCs w:val="24"/>
                <w:lang w:val="en-US" w:eastAsia="zh-CN"/>
              </w:rPr>
              <w:t>3</w:t>
            </w:r>
            <w:r>
              <w:rPr>
                <w:rFonts w:hint="eastAsia" w:ascii="宋体" w:hAnsi="宋体"/>
                <w:b/>
                <w:bCs/>
                <w:iCs/>
                <w:sz w:val="24"/>
                <w:szCs w:val="24"/>
              </w:rPr>
              <w:t>：</w:t>
            </w:r>
            <w:r>
              <w:rPr>
                <w:rFonts w:hint="eastAsia" w:ascii="宋体" w:hAnsi="宋体"/>
                <w:b/>
                <w:bCs/>
                <w:iCs/>
                <w:sz w:val="24"/>
                <w:szCs w:val="24"/>
                <w:lang w:val="en-US" w:eastAsia="zh-CN"/>
              </w:rPr>
              <w:t>祥和高端电容基地项目设备采购是否受国际环境影响？</w:t>
            </w:r>
          </w:p>
          <w:p>
            <w:pPr>
              <w:spacing w:line="360" w:lineRule="auto"/>
              <w:ind w:firstLine="480" w:firstLineChars="200"/>
              <w:jc w:val="left"/>
              <w:rPr>
                <w:rFonts w:ascii="宋体" w:hAnsi="宋体"/>
                <w:bCs/>
                <w:iCs/>
                <w:sz w:val="24"/>
                <w:szCs w:val="24"/>
              </w:rPr>
            </w:pPr>
            <w:r>
              <w:rPr>
                <w:rFonts w:hint="eastAsia" w:ascii="宋体" w:hAnsi="宋体" w:eastAsia="宋体" w:cs="宋体"/>
                <w:sz w:val="24"/>
                <w:szCs w:val="24"/>
                <w:lang w:val="en-US" w:eastAsia="zh-CN"/>
              </w:rPr>
              <w:t>答：</w:t>
            </w:r>
            <w:r>
              <w:rPr>
                <w:rFonts w:hint="eastAsia" w:ascii="宋体" w:hAnsi="宋体"/>
                <w:bCs/>
                <w:iCs/>
                <w:sz w:val="24"/>
                <w:szCs w:val="24"/>
              </w:rPr>
              <w:t>目前项目进度正常</w:t>
            </w:r>
            <w:r>
              <w:rPr>
                <w:rFonts w:hint="eastAsia" w:ascii="宋体" w:hAnsi="宋体"/>
                <w:bCs/>
                <w:iCs/>
                <w:sz w:val="24"/>
                <w:szCs w:val="24"/>
                <w:lang w:eastAsia="zh-CN"/>
              </w:rPr>
              <w:t>，祥和工业园的建设及</w:t>
            </w:r>
            <w:r>
              <w:rPr>
                <w:rFonts w:hint="eastAsia" w:ascii="宋体" w:hAnsi="宋体"/>
                <w:bCs/>
                <w:iCs/>
                <w:sz w:val="24"/>
                <w:szCs w:val="24"/>
              </w:rPr>
              <w:t>设备采购</w:t>
            </w:r>
            <w:r>
              <w:rPr>
                <w:rFonts w:hint="eastAsia" w:ascii="宋体" w:hAnsi="宋体"/>
                <w:bCs/>
                <w:iCs/>
                <w:sz w:val="24"/>
                <w:szCs w:val="24"/>
                <w:lang w:eastAsia="zh-CN"/>
              </w:rPr>
              <w:t>等工作均按计划进度推进中</w:t>
            </w:r>
            <w:r>
              <w:rPr>
                <w:rFonts w:hint="eastAsia" w:ascii="宋体" w:hAnsi="宋体"/>
                <w:bCs/>
                <w:iCs/>
                <w:sz w:val="24"/>
                <w:szCs w:val="24"/>
              </w:rPr>
              <w:t>。</w:t>
            </w:r>
          </w:p>
          <w:p>
            <w:pPr>
              <w:spacing w:line="480" w:lineRule="atLeast"/>
              <w:ind w:firstLine="465"/>
              <w:rPr>
                <w:rFonts w:ascii="宋体" w:hAnsi="宋体"/>
                <w:b/>
                <w:bCs/>
                <w:iCs/>
                <w:sz w:val="24"/>
                <w:szCs w:val="24"/>
              </w:rPr>
            </w:pPr>
            <w:r>
              <w:rPr>
                <w:rFonts w:hint="eastAsia" w:ascii="宋体" w:hAnsi="宋体"/>
                <w:b/>
                <w:bCs/>
                <w:iCs/>
                <w:sz w:val="24"/>
                <w:szCs w:val="24"/>
              </w:rPr>
              <w:t>问题</w:t>
            </w:r>
            <w:r>
              <w:rPr>
                <w:rFonts w:hint="eastAsia" w:ascii="宋体" w:hAnsi="宋体"/>
                <w:b/>
                <w:bCs/>
                <w:iCs/>
                <w:sz w:val="24"/>
                <w:szCs w:val="24"/>
                <w:lang w:val="en-US" w:eastAsia="zh-CN"/>
              </w:rPr>
              <w:t>4</w:t>
            </w:r>
            <w:r>
              <w:rPr>
                <w:rFonts w:hint="eastAsia" w:ascii="宋体" w:hAnsi="宋体"/>
                <w:b/>
                <w:bCs/>
                <w:iCs/>
                <w:sz w:val="24"/>
                <w:szCs w:val="24"/>
              </w:rPr>
              <w:t>：投资者诉讼事项</w:t>
            </w:r>
            <w:r>
              <w:rPr>
                <w:rFonts w:hint="eastAsia" w:ascii="宋体" w:hAnsi="宋体"/>
                <w:b/>
                <w:bCs/>
                <w:iCs/>
                <w:sz w:val="24"/>
                <w:szCs w:val="24"/>
                <w:lang w:eastAsia="zh-CN"/>
              </w:rPr>
              <w:t>进展</w:t>
            </w:r>
            <w:r>
              <w:rPr>
                <w:rFonts w:hint="eastAsia" w:ascii="宋体" w:hAnsi="宋体"/>
                <w:b/>
                <w:bCs/>
                <w:iCs/>
                <w:sz w:val="24"/>
                <w:szCs w:val="24"/>
              </w:rPr>
              <w:t>情况</w:t>
            </w:r>
            <w:r>
              <w:rPr>
                <w:rFonts w:hint="eastAsia" w:ascii="宋体" w:hAnsi="宋体"/>
                <w:b/>
                <w:bCs/>
                <w:iCs/>
                <w:sz w:val="24"/>
                <w:szCs w:val="24"/>
                <w:lang w:eastAsia="zh-CN"/>
              </w:rPr>
              <w:t>？</w:t>
            </w:r>
            <w:bookmarkStart w:id="0" w:name="_GoBack"/>
            <w:bookmarkEnd w:id="0"/>
          </w:p>
          <w:p>
            <w:pPr>
              <w:spacing w:line="480" w:lineRule="atLeast"/>
              <w:ind w:firstLine="465"/>
              <w:rPr>
                <w:rFonts w:hint="eastAsia" w:ascii="宋体" w:hAnsi="宋体"/>
                <w:b/>
                <w:bCs/>
                <w:iCs/>
                <w:sz w:val="24"/>
                <w:szCs w:val="24"/>
                <w:lang w:val="en-US" w:eastAsia="zh-CN"/>
              </w:rPr>
            </w:pPr>
            <w:r>
              <w:rPr>
                <w:rFonts w:hint="eastAsia" w:ascii="宋体" w:hAnsi="宋体"/>
                <w:bCs/>
                <w:iCs/>
                <w:sz w:val="24"/>
                <w:szCs w:val="24"/>
              </w:rPr>
              <w:t>答：</w:t>
            </w:r>
            <w:r>
              <w:rPr>
                <w:rFonts w:hint="eastAsia" w:ascii="宋体" w:hAnsi="宋体" w:cs="宋体"/>
                <w:sz w:val="24"/>
                <w:szCs w:val="24"/>
                <w:lang w:eastAsia="zh-CN"/>
              </w:rPr>
              <w:t>目前</w:t>
            </w:r>
            <w:r>
              <w:rPr>
                <w:rFonts w:ascii="宋体" w:hAnsi="宋体" w:eastAsia="宋体" w:cs="宋体"/>
                <w:sz w:val="24"/>
                <w:szCs w:val="24"/>
              </w:rPr>
              <w:t>公司已对何宇等2</w:t>
            </w:r>
            <w:r>
              <w:rPr>
                <w:rFonts w:hint="eastAsia" w:ascii="宋体" w:hAnsi="宋体" w:cs="宋体"/>
                <w:sz w:val="24"/>
                <w:szCs w:val="24"/>
                <w:lang w:val="en-US" w:eastAsia="zh-CN"/>
              </w:rPr>
              <w:t>8名投资者</w:t>
            </w:r>
            <w:r>
              <w:rPr>
                <w:rFonts w:ascii="宋体" w:hAnsi="宋体" w:eastAsia="宋体" w:cs="宋体"/>
                <w:sz w:val="24"/>
                <w:szCs w:val="24"/>
              </w:rPr>
              <w:t>起诉公司证券虚假陈述责任纠纷案件向广东省高级人民法院提起上诉。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vAlign w:val="center"/>
          </w:tcPr>
          <w:p>
            <w:pPr>
              <w:spacing w:line="480" w:lineRule="atLeast"/>
              <w:rPr>
                <w:rFonts w:ascii="宋体" w:hAnsi="宋体"/>
                <w:b/>
                <w:bCs/>
                <w:iCs/>
                <w:sz w:val="24"/>
                <w:szCs w:val="24"/>
              </w:rPr>
            </w:pPr>
            <w:r>
              <w:rPr>
                <w:rFonts w:hint="eastAsia" w:ascii="宋体" w:hAnsi="宋体"/>
                <w:b/>
                <w:bCs/>
                <w:iCs/>
                <w:sz w:val="24"/>
                <w:szCs w:val="24"/>
              </w:rPr>
              <w:t>附件清单（如有）</w:t>
            </w:r>
          </w:p>
        </w:tc>
        <w:tc>
          <w:tcPr>
            <w:tcW w:w="7548" w:type="dxa"/>
            <w:shd w:val="clear" w:color="auto" w:fill="auto"/>
          </w:tcPr>
          <w:p>
            <w:pPr>
              <w:spacing w:line="480" w:lineRule="atLeast"/>
              <w:rPr>
                <w:rFonts w:ascii="宋体" w:hAnsi="宋体"/>
                <w:bCs/>
                <w:iCs/>
                <w:sz w:val="24"/>
                <w:szCs w:val="24"/>
              </w:rPr>
            </w:pPr>
            <w:r>
              <w:rPr>
                <w:rFonts w:hint="eastAsia" w:ascii="宋体" w:hAnsi="宋体"/>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vAlign w:val="center"/>
          </w:tcPr>
          <w:p>
            <w:pPr>
              <w:spacing w:line="480" w:lineRule="atLeast"/>
              <w:rPr>
                <w:rFonts w:ascii="宋体" w:hAnsi="宋体"/>
                <w:b/>
                <w:bCs/>
                <w:iCs/>
                <w:sz w:val="24"/>
                <w:szCs w:val="24"/>
              </w:rPr>
            </w:pPr>
            <w:r>
              <w:rPr>
                <w:rFonts w:hint="eastAsia" w:ascii="宋体" w:hAnsi="宋体"/>
                <w:b/>
                <w:bCs/>
                <w:iCs/>
                <w:sz w:val="24"/>
                <w:szCs w:val="24"/>
              </w:rPr>
              <w:t>日期</w:t>
            </w:r>
          </w:p>
        </w:tc>
        <w:tc>
          <w:tcPr>
            <w:tcW w:w="7548" w:type="dxa"/>
            <w:shd w:val="clear" w:color="auto" w:fill="auto"/>
          </w:tcPr>
          <w:p>
            <w:pPr>
              <w:spacing w:line="480" w:lineRule="atLeast"/>
              <w:rPr>
                <w:rFonts w:ascii="宋体" w:hAnsi="宋体"/>
                <w:bCs/>
                <w:iCs/>
                <w:sz w:val="24"/>
                <w:szCs w:val="24"/>
              </w:rPr>
            </w:pPr>
            <w:r>
              <w:rPr>
                <w:rFonts w:hint="eastAsia" w:ascii="宋体" w:hAnsi="宋体"/>
                <w:bCs/>
                <w:iCs/>
                <w:sz w:val="24"/>
                <w:szCs w:val="24"/>
              </w:rPr>
              <w:t>2020年</w:t>
            </w:r>
            <w:r>
              <w:rPr>
                <w:rFonts w:ascii="宋体" w:hAnsi="宋体"/>
                <w:bCs/>
                <w:iCs/>
                <w:sz w:val="24"/>
                <w:szCs w:val="24"/>
              </w:rPr>
              <w:t>8</w:t>
            </w:r>
            <w:r>
              <w:rPr>
                <w:rFonts w:hint="eastAsia" w:ascii="宋体" w:hAnsi="宋体"/>
                <w:bCs/>
                <w:iCs/>
                <w:sz w:val="24"/>
                <w:szCs w:val="24"/>
              </w:rPr>
              <w:t>月</w:t>
            </w:r>
            <w:r>
              <w:rPr>
                <w:rFonts w:ascii="宋体" w:hAnsi="宋体"/>
                <w:bCs/>
                <w:iCs/>
                <w:sz w:val="24"/>
                <w:szCs w:val="24"/>
              </w:rPr>
              <w:t>31</w:t>
            </w:r>
            <w:r>
              <w:rPr>
                <w:rFonts w:hint="eastAsia" w:ascii="宋体" w:hAnsi="宋体"/>
                <w:bCs/>
                <w:iCs/>
                <w:sz w:val="24"/>
                <w:szCs w:val="24"/>
              </w:rPr>
              <w:t>日</w:t>
            </w:r>
          </w:p>
        </w:tc>
      </w:tr>
    </w:tbl>
    <w:p/>
    <w:sectPr>
      <w:pgSz w:w="11906" w:h="16838"/>
      <w:pgMar w:top="1276"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55B8"/>
    <w:rsid w:val="00026876"/>
    <w:rsid w:val="000330F0"/>
    <w:rsid w:val="000471DE"/>
    <w:rsid w:val="00051214"/>
    <w:rsid w:val="00062A79"/>
    <w:rsid w:val="0009738A"/>
    <w:rsid w:val="000B2336"/>
    <w:rsid w:val="000D4851"/>
    <w:rsid w:val="000E1652"/>
    <w:rsid w:val="00125E97"/>
    <w:rsid w:val="00180089"/>
    <w:rsid w:val="001B54D0"/>
    <w:rsid w:val="001E54B7"/>
    <w:rsid w:val="00220827"/>
    <w:rsid w:val="00224EA0"/>
    <w:rsid w:val="00226FA7"/>
    <w:rsid w:val="00241472"/>
    <w:rsid w:val="0027476C"/>
    <w:rsid w:val="002D45F7"/>
    <w:rsid w:val="003107CC"/>
    <w:rsid w:val="00316481"/>
    <w:rsid w:val="0032465C"/>
    <w:rsid w:val="00347985"/>
    <w:rsid w:val="00356369"/>
    <w:rsid w:val="00367B6B"/>
    <w:rsid w:val="003A1F98"/>
    <w:rsid w:val="003A1FE9"/>
    <w:rsid w:val="003A263F"/>
    <w:rsid w:val="003A49A6"/>
    <w:rsid w:val="003A6778"/>
    <w:rsid w:val="003B372F"/>
    <w:rsid w:val="003C1D36"/>
    <w:rsid w:val="003D2A9C"/>
    <w:rsid w:val="003E6850"/>
    <w:rsid w:val="00400E59"/>
    <w:rsid w:val="00404FF2"/>
    <w:rsid w:val="00406708"/>
    <w:rsid w:val="004254BB"/>
    <w:rsid w:val="004351E2"/>
    <w:rsid w:val="00454FCE"/>
    <w:rsid w:val="00464AE3"/>
    <w:rsid w:val="0048039E"/>
    <w:rsid w:val="00486B4C"/>
    <w:rsid w:val="004D0F2B"/>
    <w:rsid w:val="004D57CD"/>
    <w:rsid w:val="005277A6"/>
    <w:rsid w:val="0055470D"/>
    <w:rsid w:val="005741EF"/>
    <w:rsid w:val="00593970"/>
    <w:rsid w:val="005C5D26"/>
    <w:rsid w:val="005F2921"/>
    <w:rsid w:val="006374CA"/>
    <w:rsid w:val="0065424E"/>
    <w:rsid w:val="00664C52"/>
    <w:rsid w:val="00692757"/>
    <w:rsid w:val="006973D0"/>
    <w:rsid w:val="006E61B8"/>
    <w:rsid w:val="00710D1B"/>
    <w:rsid w:val="0074419F"/>
    <w:rsid w:val="00746150"/>
    <w:rsid w:val="00754546"/>
    <w:rsid w:val="007813E4"/>
    <w:rsid w:val="007855A1"/>
    <w:rsid w:val="0078753E"/>
    <w:rsid w:val="00787FD9"/>
    <w:rsid w:val="00791CBA"/>
    <w:rsid w:val="00814D2C"/>
    <w:rsid w:val="008267BD"/>
    <w:rsid w:val="00831931"/>
    <w:rsid w:val="00847D84"/>
    <w:rsid w:val="008614C9"/>
    <w:rsid w:val="00872101"/>
    <w:rsid w:val="00884C47"/>
    <w:rsid w:val="00893E6F"/>
    <w:rsid w:val="008A6836"/>
    <w:rsid w:val="008B1EA9"/>
    <w:rsid w:val="008B255E"/>
    <w:rsid w:val="008B7BAB"/>
    <w:rsid w:val="0092034E"/>
    <w:rsid w:val="00927BDE"/>
    <w:rsid w:val="009327F3"/>
    <w:rsid w:val="00942FF6"/>
    <w:rsid w:val="00963A49"/>
    <w:rsid w:val="00991892"/>
    <w:rsid w:val="009E49BF"/>
    <w:rsid w:val="009F35B1"/>
    <w:rsid w:val="00A06FDE"/>
    <w:rsid w:val="00A30D03"/>
    <w:rsid w:val="00A4187E"/>
    <w:rsid w:val="00A612EB"/>
    <w:rsid w:val="00A6533F"/>
    <w:rsid w:val="00A70107"/>
    <w:rsid w:val="00A72707"/>
    <w:rsid w:val="00AA1D5D"/>
    <w:rsid w:val="00AA4C01"/>
    <w:rsid w:val="00AC1115"/>
    <w:rsid w:val="00AC2440"/>
    <w:rsid w:val="00AD173D"/>
    <w:rsid w:val="00B73854"/>
    <w:rsid w:val="00B8522A"/>
    <w:rsid w:val="00B8795C"/>
    <w:rsid w:val="00BB1502"/>
    <w:rsid w:val="00BE7AF9"/>
    <w:rsid w:val="00C02F6B"/>
    <w:rsid w:val="00C32C77"/>
    <w:rsid w:val="00C46F43"/>
    <w:rsid w:val="00C5701D"/>
    <w:rsid w:val="00C60329"/>
    <w:rsid w:val="00C7008C"/>
    <w:rsid w:val="00C91017"/>
    <w:rsid w:val="00CC1930"/>
    <w:rsid w:val="00D13612"/>
    <w:rsid w:val="00D206E4"/>
    <w:rsid w:val="00D318A1"/>
    <w:rsid w:val="00D4478F"/>
    <w:rsid w:val="00D52164"/>
    <w:rsid w:val="00D541C0"/>
    <w:rsid w:val="00D6000B"/>
    <w:rsid w:val="00D64D41"/>
    <w:rsid w:val="00D67338"/>
    <w:rsid w:val="00DB2B1F"/>
    <w:rsid w:val="00DD27FD"/>
    <w:rsid w:val="00DD3125"/>
    <w:rsid w:val="00DD47A2"/>
    <w:rsid w:val="00DD5F2C"/>
    <w:rsid w:val="00DF4548"/>
    <w:rsid w:val="00E12000"/>
    <w:rsid w:val="00E25AC1"/>
    <w:rsid w:val="00E31C87"/>
    <w:rsid w:val="00E3310C"/>
    <w:rsid w:val="00E549E4"/>
    <w:rsid w:val="00E6463B"/>
    <w:rsid w:val="00E72664"/>
    <w:rsid w:val="00E76673"/>
    <w:rsid w:val="00E9370A"/>
    <w:rsid w:val="00E955B8"/>
    <w:rsid w:val="00EA13C5"/>
    <w:rsid w:val="00EA3A7E"/>
    <w:rsid w:val="00EC0148"/>
    <w:rsid w:val="00EC3E7C"/>
    <w:rsid w:val="00EC6F5A"/>
    <w:rsid w:val="00EE31B2"/>
    <w:rsid w:val="00F0098E"/>
    <w:rsid w:val="00F07B0F"/>
    <w:rsid w:val="00F215F5"/>
    <w:rsid w:val="00F24A71"/>
    <w:rsid w:val="00F4383F"/>
    <w:rsid w:val="00F7332E"/>
    <w:rsid w:val="00F75716"/>
    <w:rsid w:val="00F854F5"/>
    <w:rsid w:val="00F93615"/>
    <w:rsid w:val="00FB6F8D"/>
    <w:rsid w:val="00FD13E1"/>
    <w:rsid w:val="0423432C"/>
    <w:rsid w:val="075B0390"/>
    <w:rsid w:val="140C17FB"/>
    <w:rsid w:val="18D0709A"/>
    <w:rsid w:val="1EF37AB0"/>
    <w:rsid w:val="25E479DC"/>
    <w:rsid w:val="43690D7A"/>
    <w:rsid w:val="43763891"/>
    <w:rsid w:val="5169356C"/>
    <w:rsid w:val="52805CFB"/>
    <w:rsid w:val="545D3221"/>
    <w:rsid w:val="5954753E"/>
    <w:rsid w:val="674019CA"/>
    <w:rsid w:val="6B033965"/>
    <w:rsid w:val="76CA40C5"/>
    <w:rsid w:val="7D4C3A60"/>
    <w:rsid w:val="7FEF57AD"/>
    <w:rsid w:val="FDFBE3D1"/>
    <w:rsid w:val="FEFF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paragraph" w:customStyle="1" w:styleId="7">
    <w:name w:val="列出段落1"/>
    <w:basedOn w:val="1"/>
    <w:qFormat/>
    <w:uiPriority w:val="34"/>
    <w:pPr>
      <w:ind w:firstLine="420" w:firstLineChars="200"/>
    </w:pPr>
  </w:style>
  <w:style w:type="character" w:customStyle="1" w:styleId="8">
    <w:name w:val="页眉 Char"/>
    <w:basedOn w:val="4"/>
    <w:link w:val="3"/>
    <w:semiHidden/>
    <w:qFormat/>
    <w:uiPriority w:val="99"/>
    <w:rPr>
      <w:rFonts w:ascii="Times New Roman" w:hAnsi="Times New Roman" w:eastAsia="宋体" w:cs="Times New Roman"/>
      <w:sz w:val="18"/>
      <w:szCs w:val="18"/>
    </w:rPr>
  </w:style>
  <w:style w:type="character" w:customStyle="1" w:styleId="9">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158</Words>
  <Characters>905</Characters>
  <Lines>7</Lines>
  <Paragraphs>2</Paragraphs>
  <ScaleCrop>false</ScaleCrop>
  <LinksUpToDate>false</LinksUpToDate>
  <CharactersWithSpaces>1061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2016-05-06T16:35:00Z</dcterms:created>
  <dc:creator>刘艳春</dc:creator>
  <cp:lastModifiedBy>刘艳春</cp:lastModifiedBy>
  <cp:lastPrinted>2020-08-31T09:09:00Z</cp:lastPrinted>
  <dcterms:modified xsi:type="dcterms:W3CDTF">2020-09-02T10:10:07Z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