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73" w:rsidRDefault="00922773" w:rsidP="00922773">
      <w:pPr>
        <w:spacing w:beforeLines="50" w:afterLines="50" w:line="400" w:lineRule="exact"/>
        <w:ind w:firstLineChars="150" w:firstLine="360"/>
        <w:rPr>
          <w:rFonts w:ascii="宋体" w:hAnsi="宋体"/>
          <w:bCs/>
          <w:iCs/>
          <w:sz w:val="24"/>
        </w:rPr>
      </w:pPr>
      <w:r>
        <w:rPr>
          <w:rFonts w:ascii="宋体" w:hAnsi="宋体" w:hint="eastAsia"/>
          <w:bCs/>
          <w:iCs/>
          <w:sz w:val="24"/>
        </w:rPr>
        <w:t>证券代码：000636                           证券简称：风华高科</w:t>
      </w:r>
    </w:p>
    <w:p w:rsidR="00922773" w:rsidRDefault="00922773" w:rsidP="00922773">
      <w:pPr>
        <w:spacing w:beforeLines="50" w:afterLines="50" w:line="400" w:lineRule="exact"/>
        <w:ind w:firstLineChars="150" w:firstLine="360"/>
        <w:rPr>
          <w:rFonts w:ascii="宋体" w:hAnsi="宋体"/>
          <w:bCs/>
          <w:iCs/>
          <w:sz w:val="24"/>
        </w:rPr>
      </w:pPr>
    </w:p>
    <w:p w:rsidR="00922773" w:rsidRDefault="00922773" w:rsidP="00922773">
      <w:pPr>
        <w:spacing w:beforeLines="50" w:afterLines="50" w:line="400" w:lineRule="exact"/>
        <w:jc w:val="center"/>
        <w:rPr>
          <w:rFonts w:asciiTheme="majorEastAsia" w:eastAsiaTheme="majorEastAsia" w:hAnsiTheme="majorEastAsia"/>
          <w:b/>
          <w:bCs/>
          <w:iCs/>
          <w:sz w:val="30"/>
          <w:szCs w:val="30"/>
        </w:rPr>
      </w:pPr>
      <w:r>
        <w:rPr>
          <w:rFonts w:asciiTheme="majorEastAsia" w:eastAsiaTheme="majorEastAsia" w:hAnsiTheme="majorEastAsia" w:hint="eastAsia"/>
          <w:b/>
          <w:bCs/>
          <w:iCs/>
          <w:sz w:val="30"/>
          <w:szCs w:val="30"/>
        </w:rPr>
        <w:t>广东风华高新科技股份有限公司</w:t>
      </w:r>
    </w:p>
    <w:p w:rsidR="00922773" w:rsidRDefault="00922773" w:rsidP="00922773">
      <w:pPr>
        <w:spacing w:beforeLines="50" w:afterLines="50" w:line="400" w:lineRule="exact"/>
        <w:jc w:val="center"/>
        <w:rPr>
          <w:rFonts w:asciiTheme="majorEastAsia" w:eastAsiaTheme="majorEastAsia" w:hAnsiTheme="majorEastAsia"/>
          <w:b/>
          <w:bCs/>
          <w:iCs/>
          <w:sz w:val="30"/>
          <w:szCs w:val="30"/>
        </w:rPr>
      </w:pPr>
      <w:r>
        <w:rPr>
          <w:rFonts w:asciiTheme="majorEastAsia" w:eastAsiaTheme="majorEastAsia" w:hAnsiTheme="majorEastAsia" w:hint="eastAsia"/>
          <w:b/>
          <w:bCs/>
          <w:iCs/>
          <w:sz w:val="30"/>
          <w:szCs w:val="30"/>
        </w:rPr>
        <w:t>投资者关系活动记录表</w:t>
      </w:r>
    </w:p>
    <w:p w:rsidR="00922773" w:rsidRDefault="00922773" w:rsidP="00922773">
      <w:pPr>
        <w:spacing w:line="400" w:lineRule="exact"/>
        <w:rPr>
          <w:rFonts w:ascii="宋体" w:hAnsi="宋体"/>
          <w:bCs/>
          <w:iCs/>
          <w:sz w:val="24"/>
          <w:szCs w:val="24"/>
        </w:rPr>
      </w:pPr>
      <w:r>
        <w:rPr>
          <w:rFonts w:ascii="宋体" w:hAnsi="宋体" w:hint="eastAsia"/>
          <w:bCs/>
          <w:iCs/>
          <w:sz w:val="24"/>
          <w:szCs w:val="24"/>
        </w:rPr>
        <w:t xml:space="preserve">                                                      编号：2021-002</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448"/>
      </w:tblGrid>
      <w:tr w:rsidR="00922773" w:rsidTr="002C4149">
        <w:tc>
          <w:tcPr>
            <w:tcW w:w="1908" w:type="dxa"/>
            <w:shd w:val="clear" w:color="auto" w:fill="auto"/>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投资者关系活动类别</w:t>
            </w:r>
          </w:p>
          <w:p w:rsidR="00922773" w:rsidRDefault="00922773" w:rsidP="002C4149">
            <w:pPr>
              <w:spacing w:line="480" w:lineRule="atLeast"/>
              <w:rPr>
                <w:rFonts w:ascii="宋体" w:hAnsi="宋体"/>
                <w:b/>
                <w:bCs/>
                <w:iCs/>
                <w:sz w:val="24"/>
                <w:szCs w:val="24"/>
              </w:rPr>
            </w:pPr>
          </w:p>
        </w:tc>
        <w:tc>
          <w:tcPr>
            <w:tcW w:w="7448" w:type="dxa"/>
            <w:shd w:val="clear" w:color="auto" w:fill="auto"/>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rsidR="00922773" w:rsidRDefault="00922773" w:rsidP="002C414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922773" w:rsidRDefault="00922773" w:rsidP="002C414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922773" w:rsidRDefault="00922773" w:rsidP="002C4149">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            √电话会议</w:t>
            </w:r>
          </w:p>
          <w:p w:rsidR="00922773" w:rsidRDefault="00922773" w:rsidP="002C4149">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922773" w:rsidTr="002C4149">
        <w:tc>
          <w:tcPr>
            <w:tcW w:w="1908" w:type="dxa"/>
            <w:shd w:val="clear" w:color="auto" w:fill="auto"/>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参与单位名称</w:t>
            </w:r>
          </w:p>
        </w:tc>
        <w:tc>
          <w:tcPr>
            <w:tcW w:w="7448" w:type="dxa"/>
            <w:shd w:val="clear" w:color="auto" w:fill="auto"/>
          </w:tcPr>
          <w:p w:rsidR="00922773" w:rsidRDefault="00922773" w:rsidP="002C4149">
            <w:pPr>
              <w:spacing w:line="360" w:lineRule="auto"/>
              <w:rPr>
                <w:rFonts w:ascii="宋体" w:hAnsi="宋体"/>
                <w:bCs/>
                <w:iCs/>
                <w:sz w:val="24"/>
                <w:szCs w:val="24"/>
              </w:rPr>
            </w:pPr>
            <w:r>
              <w:rPr>
                <w:rFonts w:ascii="宋体" w:hAnsi="宋体" w:hint="eastAsia"/>
                <w:bCs/>
                <w:iCs/>
                <w:sz w:val="24"/>
                <w:szCs w:val="24"/>
              </w:rPr>
              <w:t>天风证券、中亿投资、中信建投、中天国富、</w:t>
            </w:r>
            <w:proofErr w:type="gramStart"/>
            <w:r>
              <w:rPr>
                <w:rFonts w:ascii="宋体" w:hAnsi="宋体" w:hint="eastAsia"/>
                <w:bCs/>
                <w:iCs/>
                <w:sz w:val="24"/>
                <w:szCs w:val="24"/>
              </w:rPr>
              <w:t>中融基金</w:t>
            </w:r>
            <w:proofErr w:type="gramEnd"/>
            <w:r>
              <w:rPr>
                <w:rFonts w:ascii="宋体" w:hAnsi="宋体" w:hint="eastAsia"/>
                <w:bCs/>
                <w:iCs/>
                <w:sz w:val="24"/>
                <w:szCs w:val="24"/>
              </w:rPr>
              <w:t>、中金基金、中加基金、正谊资产、长盛基金、长江证券、长城基金、兴银基金、西南证券、信诚基金、华富基金、江苏恒道资本管理有限公司、交银施罗德、金建投资、平安基金、</w:t>
            </w:r>
            <w:proofErr w:type="gramStart"/>
            <w:r>
              <w:rPr>
                <w:rFonts w:ascii="宋体" w:hAnsi="宋体" w:hint="eastAsia"/>
                <w:bCs/>
                <w:iCs/>
                <w:sz w:val="24"/>
                <w:szCs w:val="24"/>
              </w:rPr>
              <w:t>瑞天投资</w:t>
            </w:r>
            <w:proofErr w:type="gramEnd"/>
            <w:r>
              <w:rPr>
                <w:rFonts w:ascii="宋体" w:hAnsi="宋体" w:hint="eastAsia"/>
                <w:bCs/>
                <w:iCs/>
                <w:sz w:val="24"/>
                <w:szCs w:val="24"/>
              </w:rPr>
              <w:t>等</w:t>
            </w:r>
          </w:p>
        </w:tc>
      </w:tr>
      <w:tr w:rsidR="00922773" w:rsidTr="002C4149">
        <w:tc>
          <w:tcPr>
            <w:tcW w:w="1908" w:type="dxa"/>
            <w:shd w:val="clear" w:color="auto" w:fill="auto"/>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时间</w:t>
            </w:r>
          </w:p>
        </w:tc>
        <w:tc>
          <w:tcPr>
            <w:tcW w:w="7448" w:type="dxa"/>
            <w:shd w:val="clear" w:color="auto" w:fill="auto"/>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2021年1月12日16:00时</w:t>
            </w:r>
          </w:p>
        </w:tc>
      </w:tr>
      <w:tr w:rsidR="00922773" w:rsidTr="002C4149">
        <w:tc>
          <w:tcPr>
            <w:tcW w:w="1908" w:type="dxa"/>
            <w:shd w:val="clear" w:color="auto" w:fill="auto"/>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地点</w:t>
            </w:r>
          </w:p>
        </w:tc>
        <w:tc>
          <w:tcPr>
            <w:tcW w:w="7448" w:type="dxa"/>
            <w:shd w:val="clear" w:color="auto" w:fill="auto"/>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广东省肇庆市风华路18号风华电子城公司会议室</w:t>
            </w:r>
          </w:p>
        </w:tc>
      </w:tr>
      <w:tr w:rsidR="00922773" w:rsidTr="002C4149">
        <w:tc>
          <w:tcPr>
            <w:tcW w:w="1908" w:type="dxa"/>
            <w:shd w:val="clear" w:color="auto" w:fill="auto"/>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7448" w:type="dxa"/>
            <w:shd w:val="clear" w:color="auto" w:fill="auto"/>
            <w:vAlign w:val="center"/>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董事会秘书薛泽彬先生、投资与证券事务部及营销中心工作人员</w:t>
            </w:r>
          </w:p>
        </w:tc>
      </w:tr>
      <w:tr w:rsidR="00922773" w:rsidTr="002C4149">
        <w:trPr>
          <w:trHeight w:val="1757"/>
        </w:trPr>
        <w:tc>
          <w:tcPr>
            <w:tcW w:w="1908" w:type="dxa"/>
            <w:shd w:val="clear" w:color="auto" w:fill="auto"/>
            <w:vAlign w:val="center"/>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922773" w:rsidRDefault="00922773" w:rsidP="002C4149">
            <w:pPr>
              <w:spacing w:line="480" w:lineRule="atLeast"/>
              <w:rPr>
                <w:rFonts w:ascii="宋体" w:hAnsi="宋体"/>
                <w:b/>
                <w:bCs/>
                <w:iCs/>
                <w:sz w:val="24"/>
                <w:szCs w:val="24"/>
              </w:rPr>
            </w:pPr>
          </w:p>
        </w:tc>
        <w:tc>
          <w:tcPr>
            <w:tcW w:w="7448" w:type="dxa"/>
            <w:shd w:val="clear" w:color="auto" w:fill="auto"/>
          </w:tcPr>
          <w:p w:rsidR="00922773" w:rsidRDefault="00922773" w:rsidP="002C4149">
            <w:pPr>
              <w:spacing w:line="480" w:lineRule="atLeast"/>
              <w:ind w:firstLine="465"/>
              <w:rPr>
                <w:rFonts w:ascii="宋体" w:hAnsi="宋体"/>
                <w:b/>
                <w:bCs/>
                <w:iCs/>
                <w:sz w:val="24"/>
                <w:szCs w:val="24"/>
              </w:rPr>
            </w:pPr>
            <w:r>
              <w:rPr>
                <w:rFonts w:ascii="宋体" w:hAnsi="宋体" w:hint="eastAsia"/>
                <w:b/>
                <w:bCs/>
                <w:iCs/>
                <w:sz w:val="24"/>
                <w:szCs w:val="24"/>
              </w:rPr>
              <w:t>1．关于公司本次非公开发行股票预案的解读。</w:t>
            </w:r>
          </w:p>
          <w:p w:rsidR="00922773" w:rsidRDefault="00922773" w:rsidP="002C4149">
            <w:pPr>
              <w:spacing w:line="360" w:lineRule="auto"/>
              <w:ind w:firstLineChars="200" w:firstLine="482"/>
              <w:jc w:val="left"/>
              <w:rPr>
                <w:rFonts w:ascii="宋体" w:hAnsi="宋体"/>
                <w:bCs/>
                <w:iCs/>
                <w:sz w:val="24"/>
                <w:szCs w:val="24"/>
              </w:rPr>
            </w:pPr>
            <w:r>
              <w:rPr>
                <w:rFonts w:ascii="宋体" w:hAnsi="宋体" w:hint="eastAsia"/>
                <w:b/>
                <w:bCs/>
                <w:iCs/>
                <w:sz w:val="24"/>
                <w:szCs w:val="24"/>
              </w:rPr>
              <w:t>说明：</w:t>
            </w:r>
            <w:r>
              <w:rPr>
                <w:rFonts w:ascii="宋体" w:hAnsi="宋体" w:hint="eastAsia"/>
                <w:bCs/>
                <w:iCs/>
                <w:sz w:val="24"/>
                <w:szCs w:val="24"/>
              </w:rPr>
              <w:t>公司于2021年1月7日披露了《风华高科2021年度非公开发行A股股票预案》</w:t>
            </w:r>
            <w:r>
              <w:rPr>
                <w:rFonts w:ascii="宋体" w:hAnsi="宋体"/>
                <w:bCs/>
                <w:iCs/>
                <w:sz w:val="24"/>
                <w:szCs w:val="24"/>
              </w:rPr>
              <w:t>。</w:t>
            </w:r>
            <w:r>
              <w:rPr>
                <w:rFonts w:ascii="宋体" w:hAnsi="宋体" w:hint="eastAsia"/>
                <w:bCs/>
                <w:iCs/>
                <w:sz w:val="24"/>
                <w:szCs w:val="24"/>
              </w:rPr>
              <w:t>公司本次非公开发行募集金额总额不超过人民币50亿元，其中控股股东广</w:t>
            </w:r>
            <w:proofErr w:type="gramStart"/>
            <w:r>
              <w:rPr>
                <w:rFonts w:ascii="宋体" w:hAnsi="宋体" w:hint="eastAsia"/>
                <w:bCs/>
                <w:iCs/>
                <w:sz w:val="24"/>
                <w:szCs w:val="24"/>
              </w:rPr>
              <w:t>晟</w:t>
            </w:r>
            <w:proofErr w:type="gramEnd"/>
            <w:r>
              <w:rPr>
                <w:rFonts w:ascii="宋体" w:hAnsi="宋体" w:hint="eastAsia"/>
                <w:bCs/>
                <w:iCs/>
                <w:sz w:val="24"/>
                <w:szCs w:val="24"/>
              </w:rPr>
              <w:t>公司拟认购额度不低于20.03%；本次发行股票数量不超过本次发行前总股本的30%；发行对象包括公司控股股东广</w:t>
            </w:r>
            <w:proofErr w:type="gramStart"/>
            <w:r>
              <w:rPr>
                <w:rFonts w:ascii="宋体" w:hAnsi="宋体" w:hint="eastAsia"/>
                <w:bCs/>
                <w:iCs/>
                <w:sz w:val="24"/>
                <w:szCs w:val="24"/>
              </w:rPr>
              <w:t>晟</w:t>
            </w:r>
            <w:proofErr w:type="gramEnd"/>
            <w:r>
              <w:rPr>
                <w:rFonts w:ascii="宋体" w:hAnsi="宋体" w:hint="eastAsia"/>
                <w:bCs/>
                <w:iCs/>
                <w:sz w:val="24"/>
                <w:szCs w:val="24"/>
              </w:rPr>
              <w:t>公司在内的不超过35名符合中国证监会规定条件的特定对象；发行价格不低于定价基准日前20个交易日公司股价均价的80%；本次非公开发行募集资金净额全部用于投资公司祥和工业园高端电容基地建设项目及新增月产280亿只片式电阻器技改扩产项目，拟投入募集资金额分别为40亿元和10亿元。</w:t>
            </w:r>
          </w:p>
          <w:p w:rsidR="00922773" w:rsidRDefault="00922773" w:rsidP="002C4149">
            <w:pPr>
              <w:spacing w:line="480" w:lineRule="atLeast"/>
              <w:ind w:firstLine="465"/>
              <w:rPr>
                <w:rFonts w:ascii="宋体" w:hAnsi="宋体"/>
                <w:b/>
                <w:bCs/>
                <w:iCs/>
                <w:sz w:val="24"/>
                <w:szCs w:val="24"/>
              </w:rPr>
            </w:pPr>
            <w:r>
              <w:rPr>
                <w:rFonts w:ascii="宋体" w:hAnsi="宋体" w:hint="eastAsia"/>
                <w:b/>
                <w:bCs/>
                <w:iCs/>
                <w:sz w:val="24"/>
                <w:szCs w:val="24"/>
              </w:rPr>
              <w:lastRenderedPageBreak/>
              <w:t>2．关于公司近期投资广</w:t>
            </w:r>
            <w:proofErr w:type="gramStart"/>
            <w:r>
              <w:rPr>
                <w:rFonts w:ascii="宋体" w:hAnsi="宋体" w:hint="eastAsia"/>
                <w:b/>
                <w:bCs/>
                <w:iCs/>
                <w:sz w:val="24"/>
                <w:szCs w:val="24"/>
              </w:rPr>
              <w:t>晟</w:t>
            </w:r>
            <w:proofErr w:type="gramEnd"/>
            <w:r>
              <w:rPr>
                <w:rFonts w:ascii="宋体" w:hAnsi="宋体" w:hint="eastAsia"/>
                <w:b/>
                <w:bCs/>
                <w:iCs/>
                <w:sz w:val="24"/>
                <w:szCs w:val="24"/>
              </w:rPr>
              <w:t>研究院10%股权项目的必要性解读。</w:t>
            </w:r>
          </w:p>
          <w:p w:rsidR="00922773" w:rsidRDefault="00922773" w:rsidP="002C4149">
            <w:pPr>
              <w:spacing w:line="480" w:lineRule="atLeast"/>
              <w:ind w:firstLine="465"/>
              <w:rPr>
                <w:rFonts w:ascii="宋体" w:hAnsi="宋体"/>
                <w:bCs/>
                <w:iCs/>
                <w:sz w:val="24"/>
                <w:szCs w:val="24"/>
              </w:rPr>
            </w:pPr>
            <w:r>
              <w:rPr>
                <w:rFonts w:ascii="宋体" w:hAnsi="宋体" w:hint="eastAsia"/>
                <w:b/>
                <w:bCs/>
                <w:iCs/>
                <w:sz w:val="24"/>
                <w:szCs w:val="24"/>
              </w:rPr>
              <w:t>说明：</w:t>
            </w:r>
            <w:r>
              <w:rPr>
                <w:rFonts w:ascii="宋体" w:hAnsi="宋体" w:hint="eastAsia"/>
                <w:bCs/>
                <w:iCs/>
                <w:sz w:val="24"/>
                <w:szCs w:val="24"/>
              </w:rPr>
              <w:t>公司于2020年12月29日披露了《</w:t>
            </w:r>
            <w:r>
              <w:rPr>
                <w:rFonts w:ascii="宋体" w:hAnsi="宋体"/>
                <w:bCs/>
                <w:iCs/>
                <w:sz w:val="24"/>
                <w:szCs w:val="24"/>
              </w:rPr>
              <w:t>关于受让广东广晟研究开发院有限公司10%股权暨关联交易的公告</w:t>
            </w:r>
            <w:r>
              <w:rPr>
                <w:rFonts w:ascii="宋体" w:hAnsi="宋体" w:hint="eastAsia"/>
                <w:bCs/>
                <w:iCs/>
                <w:sz w:val="24"/>
                <w:szCs w:val="24"/>
              </w:rPr>
              <w:t>》。公司本次投资广</w:t>
            </w:r>
            <w:proofErr w:type="gramStart"/>
            <w:r>
              <w:rPr>
                <w:rFonts w:ascii="宋体" w:hAnsi="宋体" w:hint="eastAsia"/>
                <w:bCs/>
                <w:iCs/>
                <w:sz w:val="24"/>
                <w:szCs w:val="24"/>
              </w:rPr>
              <w:t>晟</w:t>
            </w:r>
            <w:proofErr w:type="gramEnd"/>
            <w:r>
              <w:rPr>
                <w:rFonts w:ascii="宋体" w:hAnsi="宋体" w:hint="eastAsia"/>
                <w:bCs/>
                <w:iCs/>
                <w:sz w:val="24"/>
                <w:szCs w:val="24"/>
              </w:rPr>
              <w:t>研究院股权主要系基于共享其平台资源，加快创新领域项目的孵化。广</w:t>
            </w:r>
            <w:proofErr w:type="gramStart"/>
            <w:r>
              <w:rPr>
                <w:rFonts w:ascii="宋体" w:hAnsi="宋体" w:hint="eastAsia"/>
                <w:bCs/>
                <w:iCs/>
                <w:sz w:val="24"/>
                <w:szCs w:val="24"/>
              </w:rPr>
              <w:t>晟</w:t>
            </w:r>
            <w:proofErr w:type="gramEnd"/>
            <w:r>
              <w:rPr>
                <w:rFonts w:ascii="宋体" w:hAnsi="宋体" w:hint="eastAsia"/>
                <w:bCs/>
                <w:iCs/>
                <w:sz w:val="24"/>
                <w:szCs w:val="24"/>
              </w:rPr>
              <w:t>研究院作为广</w:t>
            </w:r>
            <w:proofErr w:type="gramStart"/>
            <w:r>
              <w:rPr>
                <w:rFonts w:ascii="宋体" w:hAnsi="宋体" w:hint="eastAsia"/>
                <w:bCs/>
                <w:iCs/>
                <w:sz w:val="24"/>
                <w:szCs w:val="24"/>
              </w:rPr>
              <w:t>晟</w:t>
            </w:r>
            <w:proofErr w:type="gramEnd"/>
            <w:r>
              <w:rPr>
                <w:rFonts w:ascii="宋体" w:hAnsi="宋体" w:hint="eastAsia"/>
                <w:bCs/>
                <w:iCs/>
                <w:sz w:val="24"/>
                <w:szCs w:val="24"/>
              </w:rPr>
              <w:t>系统</w:t>
            </w:r>
            <w:proofErr w:type="gramStart"/>
            <w:r>
              <w:rPr>
                <w:rFonts w:ascii="宋体" w:hAnsi="宋体" w:hint="eastAsia"/>
                <w:bCs/>
                <w:iCs/>
                <w:sz w:val="24"/>
                <w:szCs w:val="24"/>
              </w:rPr>
              <w:t>内创新大</w:t>
            </w:r>
            <w:proofErr w:type="gramEnd"/>
            <w:r>
              <w:rPr>
                <w:rFonts w:ascii="宋体" w:hAnsi="宋体" w:hint="eastAsia"/>
                <w:bCs/>
                <w:iCs/>
                <w:sz w:val="24"/>
                <w:szCs w:val="24"/>
              </w:rPr>
              <w:t>平台，具备较强的资源汇集能力和资源整合能力，可构建优质科技资源与技术人才活跃的新平台；同时与广</w:t>
            </w:r>
            <w:proofErr w:type="gramStart"/>
            <w:r>
              <w:rPr>
                <w:rFonts w:ascii="宋体" w:hAnsi="宋体" w:hint="eastAsia"/>
                <w:bCs/>
                <w:iCs/>
                <w:sz w:val="24"/>
                <w:szCs w:val="24"/>
              </w:rPr>
              <w:t>晟</w:t>
            </w:r>
            <w:proofErr w:type="gramEnd"/>
            <w:r>
              <w:rPr>
                <w:rFonts w:ascii="宋体" w:hAnsi="宋体" w:hint="eastAsia"/>
                <w:bCs/>
                <w:iCs/>
                <w:sz w:val="24"/>
                <w:szCs w:val="24"/>
              </w:rPr>
              <w:t>公司及其体系企业的业务资质与技术可以优势互补，资源整合，研发与应用交叉等，有助于拓展科技创新业务，实现资源共享。另外，公司目前主要聚焦</w:t>
            </w:r>
            <w:proofErr w:type="gramStart"/>
            <w:r>
              <w:rPr>
                <w:rFonts w:ascii="宋体" w:hAnsi="宋体" w:hint="eastAsia"/>
                <w:bCs/>
                <w:iCs/>
                <w:sz w:val="24"/>
                <w:szCs w:val="24"/>
              </w:rPr>
              <w:t>阻容感主业</w:t>
            </w:r>
            <w:proofErr w:type="gramEnd"/>
            <w:r>
              <w:rPr>
                <w:rFonts w:ascii="宋体" w:hAnsi="宋体" w:hint="eastAsia"/>
                <w:bCs/>
                <w:iCs/>
                <w:sz w:val="24"/>
                <w:szCs w:val="24"/>
              </w:rPr>
              <w:t>发展战略，公司主要的资源将集中于片式元器件的发展，为同时加快非主营产品及孵化项目未来长远和稳健的发展，公司有必要借助于创新优势资源发挥作用，借助外力对非主营业务及孵化项目做大做强，同时为公司培育新的利润增长点。</w:t>
            </w:r>
          </w:p>
          <w:p w:rsidR="00922773" w:rsidRPr="00922773" w:rsidRDefault="00922773" w:rsidP="00922773">
            <w:pPr>
              <w:spacing w:line="480" w:lineRule="atLeast"/>
              <w:ind w:firstLine="465"/>
              <w:rPr>
                <w:rFonts w:ascii="宋体" w:hAnsi="宋体" w:hint="eastAsia"/>
                <w:b/>
                <w:bCs/>
                <w:iCs/>
                <w:sz w:val="24"/>
                <w:szCs w:val="24"/>
              </w:rPr>
            </w:pPr>
            <w:r w:rsidRPr="00922773">
              <w:rPr>
                <w:rFonts w:ascii="宋体" w:hAnsi="宋体" w:hint="eastAsia"/>
                <w:b/>
                <w:bCs/>
                <w:iCs/>
                <w:sz w:val="24"/>
                <w:szCs w:val="24"/>
              </w:rPr>
              <w:t>3．公司是否考虑进一步完善高管及骨干团队的激励机制？</w:t>
            </w:r>
          </w:p>
          <w:p w:rsidR="00922773" w:rsidRPr="00922773" w:rsidRDefault="00922773" w:rsidP="002C4149">
            <w:pPr>
              <w:spacing w:line="480" w:lineRule="atLeast"/>
              <w:ind w:firstLine="465"/>
              <w:rPr>
                <w:rFonts w:ascii="宋体" w:hAnsi="宋体" w:hint="eastAsia"/>
                <w:bCs/>
                <w:iCs/>
                <w:sz w:val="24"/>
                <w:szCs w:val="24"/>
              </w:rPr>
            </w:pPr>
            <w:r w:rsidRPr="00922773">
              <w:rPr>
                <w:rFonts w:ascii="宋体" w:hAnsi="宋体" w:hint="eastAsia"/>
                <w:b/>
                <w:bCs/>
                <w:iCs/>
                <w:sz w:val="24"/>
                <w:szCs w:val="24"/>
              </w:rPr>
              <w:t>说明：</w:t>
            </w:r>
            <w:r w:rsidRPr="00922773">
              <w:rPr>
                <w:rFonts w:ascii="宋体" w:hAnsi="宋体" w:hint="eastAsia"/>
                <w:bCs/>
                <w:iCs/>
                <w:sz w:val="24"/>
                <w:szCs w:val="24"/>
              </w:rPr>
              <w:t>公司一直在探索建立富有竞争力的激励机制，目前正在积极推进技术与管理双轨制的考核体系，目标是为技术骨干搭建独立的职业发展和薪酬激励通道，进一步加大对科研人员的激励。另外，公司作为国有控股上市公司，为加快实现高质量发展的目标，未来在高管激励方面会更进一步市场化。</w:t>
            </w:r>
          </w:p>
          <w:p w:rsidR="00922773" w:rsidRDefault="00922773" w:rsidP="002C4149">
            <w:pPr>
              <w:spacing w:line="480" w:lineRule="atLeast"/>
              <w:ind w:firstLine="465"/>
              <w:rPr>
                <w:rFonts w:ascii="宋体" w:hAnsi="宋体"/>
                <w:b/>
                <w:bCs/>
                <w:iCs/>
                <w:sz w:val="24"/>
                <w:szCs w:val="24"/>
              </w:rPr>
            </w:pPr>
            <w:r>
              <w:rPr>
                <w:rFonts w:ascii="宋体" w:hAnsi="宋体" w:hint="eastAsia"/>
                <w:b/>
                <w:bCs/>
                <w:iCs/>
                <w:sz w:val="24"/>
                <w:szCs w:val="24"/>
              </w:rPr>
              <w:t>4.关于公司祥和工业园高端电容基地建设项目的进展情况。</w:t>
            </w:r>
          </w:p>
          <w:p w:rsidR="00922773" w:rsidRDefault="00922773" w:rsidP="002C4149">
            <w:pPr>
              <w:spacing w:line="480" w:lineRule="atLeast"/>
              <w:ind w:firstLine="465"/>
              <w:rPr>
                <w:rFonts w:ascii="宋体" w:hAnsi="宋体"/>
                <w:bCs/>
                <w:iCs/>
                <w:sz w:val="24"/>
                <w:szCs w:val="24"/>
              </w:rPr>
            </w:pPr>
            <w:r>
              <w:rPr>
                <w:rFonts w:ascii="宋体" w:hAnsi="宋体" w:hint="eastAsia"/>
                <w:b/>
                <w:bCs/>
                <w:iCs/>
                <w:sz w:val="24"/>
                <w:szCs w:val="24"/>
              </w:rPr>
              <w:t>说明：</w:t>
            </w:r>
            <w:r>
              <w:rPr>
                <w:rFonts w:ascii="宋体" w:hAnsi="宋体" w:hint="eastAsia"/>
                <w:bCs/>
                <w:iCs/>
                <w:sz w:val="24"/>
                <w:szCs w:val="24"/>
              </w:rPr>
              <w:t>截至目前，公司投资75亿元建设的祥和工业园高端电容基地建设项目整体进度符合公司规划目标，公司已结合项目需求制定各项资源配置保障措施，全力以赴按立项目标推进项目建设。</w:t>
            </w:r>
          </w:p>
          <w:p w:rsidR="00922773" w:rsidRPr="00922773" w:rsidRDefault="00922773" w:rsidP="00922773">
            <w:pPr>
              <w:spacing w:line="480" w:lineRule="atLeast"/>
              <w:ind w:firstLine="465"/>
              <w:rPr>
                <w:rFonts w:ascii="宋体" w:hAnsi="宋体" w:hint="eastAsia"/>
                <w:b/>
                <w:bCs/>
                <w:iCs/>
                <w:sz w:val="24"/>
                <w:szCs w:val="24"/>
              </w:rPr>
            </w:pPr>
            <w:r>
              <w:rPr>
                <w:rFonts w:ascii="宋体" w:hAnsi="宋体" w:hint="eastAsia"/>
                <w:b/>
                <w:bCs/>
                <w:iCs/>
                <w:sz w:val="24"/>
                <w:szCs w:val="24"/>
              </w:rPr>
              <w:t>5</w:t>
            </w:r>
            <w:r w:rsidRPr="00922773">
              <w:rPr>
                <w:rFonts w:ascii="宋体" w:hAnsi="宋体" w:hint="eastAsia"/>
                <w:b/>
                <w:bCs/>
                <w:iCs/>
                <w:sz w:val="24"/>
                <w:szCs w:val="24"/>
              </w:rPr>
              <w:t>.如果本次非公开发行融资的时间赶不上扩产的时间，是否会影响两个项目的投资进度？</w:t>
            </w:r>
          </w:p>
          <w:p w:rsidR="00922773" w:rsidRPr="00922773" w:rsidRDefault="00922773" w:rsidP="00922773">
            <w:pPr>
              <w:spacing w:line="480" w:lineRule="atLeast"/>
              <w:ind w:firstLine="465"/>
              <w:rPr>
                <w:rFonts w:ascii="宋体" w:hAnsi="宋体"/>
                <w:bCs/>
                <w:iCs/>
                <w:sz w:val="24"/>
                <w:szCs w:val="24"/>
                <w:lang w:val="zh-CN"/>
              </w:rPr>
            </w:pPr>
            <w:r w:rsidRPr="00922773">
              <w:rPr>
                <w:rFonts w:ascii="宋体" w:hAnsi="宋体" w:hint="eastAsia"/>
                <w:b/>
                <w:bCs/>
                <w:iCs/>
                <w:sz w:val="24"/>
                <w:szCs w:val="24"/>
              </w:rPr>
              <w:t>说明：</w:t>
            </w:r>
            <w:r w:rsidRPr="00922773">
              <w:rPr>
                <w:rFonts w:ascii="宋体" w:hAnsi="宋体" w:hint="eastAsia"/>
                <w:bCs/>
                <w:iCs/>
                <w:sz w:val="24"/>
                <w:szCs w:val="24"/>
              </w:rPr>
              <w:t>公司投资扩产项目的进度不会受到融资进度的影响。目前公司投资项目整体进度符合公司规划目标，公司已结合项目需求制定各项资源配置保障措施，全力以赴按立项目标推进项目建设。同时公司目前的资产负债率处在合理水平，公司可采取多种渠道相结合的融资方式解决资金需求。</w:t>
            </w:r>
          </w:p>
          <w:p w:rsidR="00922773" w:rsidRDefault="00922773" w:rsidP="002C4149">
            <w:pPr>
              <w:spacing w:line="480" w:lineRule="atLeast"/>
              <w:ind w:firstLine="465"/>
              <w:rPr>
                <w:rFonts w:ascii="宋体" w:hAnsi="宋体"/>
                <w:b/>
                <w:bCs/>
                <w:iCs/>
                <w:sz w:val="24"/>
                <w:szCs w:val="24"/>
              </w:rPr>
            </w:pPr>
            <w:r>
              <w:rPr>
                <w:rFonts w:ascii="宋体" w:hAnsi="宋体" w:hint="eastAsia"/>
                <w:b/>
                <w:bCs/>
                <w:iCs/>
                <w:sz w:val="24"/>
                <w:szCs w:val="24"/>
              </w:rPr>
              <w:lastRenderedPageBreak/>
              <w:t>6.关于公司生产经营情况。</w:t>
            </w:r>
          </w:p>
          <w:p w:rsidR="00922773" w:rsidRDefault="00922773" w:rsidP="002C4149">
            <w:pPr>
              <w:spacing w:line="480" w:lineRule="atLeast"/>
              <w:ind w:firstLine="465"/>
              <w:rPr>
                <w:rFonts w:ascii="宋体" w:hAnsi="宋体"/>
                <w:bCs/>
                <w:iCs/>
                <w:sz w:val="24"/>
                <w:szCs w:val="24"/>
                <w:lang w:val="zh-CN"/>
              </w:rPr>
            </w:pPr>
            <w:r>
              <w:rPr>
                <w:rFonts w:ascii="宋体" w:hAnsi="宋体" w:hint="eastAsia"/>
                <w:b/>
                <w:bCs/>
                <w:iCs/>
                <w:sz w:val="24"/>
                <w:szCs w:val="24"/>
              </w:rPr>
              <w:t>说明：</w:t>
            </w:r>
            <w:r>
              <w:rPr>
                <w:rFonts w:ascii="宋体" w:hAnsi="宋体" w:hint="eastAsia"/>
                <w:bCs/>
                <w:iCs/>
                <w:sz w:val="24"/>
                <w:szCs w:val="24"/>
              </w:rPr>
              <w:t>截至目前，公司主营产品产能满负荷运转，市场订单饱满，生产经营正常。</w:t>
            </w:r>
            <w:bookmarkStart w:id="0" w:name="_GoBack"/>
            <w:bookmarkEnd w:id="0"/>
          </w:p>
        </w:tc>
      </w:tr>
      <w:tr w:rsidR="00922773" w:rsidTr="002C4149">
        <w:tc>
          <w:tcPr>
            <w:tcW w:w="1908" w:type="dxa"/>
            <w:shd w:val="clear" w:color="auto" w:fill="auto"/>
            <w:vAlign w:val="center"/>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7448" w:type="dxa"/>
            <w:shd w:val="clear" w:color="auto" w:fill="auto"/>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无</w:t>
            </w:r>
          </w:p>
        </w:tc>
      </w:tr>
      <w:tr w:rsidR="00922773" w:rsidTr="002C4149">
        <w:tc>
          <w:tcPr>
            <w:tcW w:w="1908" w:type="dxa"/>
            <w:shd w:val="clear" w:color="auto" w:fill="auto"/>
            <w:vAlign w:val="center"/>
          </w:tcPr>
          <w:p w:rsidR="00922773" w:rsidRDefault="00922773" w:rsidP="002C4149">
            <w:pPr>
              <w:spacing w:line="480" w:lineRule="atLeast"/>
              <w:rPr>
                <w:rFonts w:ascii="宋体" w:hAnsi="宋体"/>
                <w:b/>
                <w:bCs/>
                <w:iCs/>
                <w:sz w:val="24"/>
                <w:szCs w:val="24"/>
              </w:rPr>
            </w:pPr>
            <w:r>
              <w:rPr>
                <w:rFonts w:ascii="宋体" w:hAnsi="宋体" w:hint="eastAsia"/>
                <w:b/>
                <w:bCs/>
                <w:iCs/>
                <w:sz w:val="24"/>
                <w:szCs w:val="24"/>
              </w:rPr>
              <w:t>日期</w:t>
            </w:r>
          </w:p>
        </w:tc>
        <w:tc>
          <w:tcPr>
            <w:tcW w:w="7448" w:type="dxa"/>
            <w:shd w:val="clear" w:color="auto" w:fill="auto"/>
          </w:tcPr>
          <w:p w:rsidR="00922773" w:rsidRDefault="00922773" w:rsidP="002C4149">
            <w:pPr>
              <w:spacing w:line="480" w:lineRule="atLeast"/>
              <w:rPr>
                <w:rFonts w:ascii="宋体" w:hAnsi="宋体"/>
                <w:bCs/>
                <w:iCs/>
                <w:sz w:val="24"/>
                <w:szCs w:val="24"/>
              </w:rPr>
            </w:pPr>
            <w:r>
              <w:rPr>
                <w:rFonts w:ascii="宋体" w:hAnsi="宋体" w:hint="eastAsia"/>
                <w:bCs/>
                <w:iCs/>
                <w:sz w:val="24"/>
                <w:szCs w:val="24"/>
              </w:rPr>
              <w:t>2021年1月12日</w:t>
            </w:r>
          </w:p>
        </w:tc>
      </w:tr>
    </w:tbl>
    <w:p w:rsidR="00922773" w:rsidRDefault="00922773" w:rsidP="00922773"/>
    <w:p w:rsidR="00922773" w:rsidRDefault="00922773" w:rsidP="00922773"/>
    <w:p w:rsidR="00922773" w:rsidRDefault="00922773" w:rsidP="00922773"/>
    <w:p w:rsidR="00A82C46" w:rsidRDefault="00A82C46"/>
    <w:sectPr w:rsidR="00A82C46" w:rsidSect="00F40184">
      <w:pgSz w:w="11906" w:h="16838"/>
      <w:pgMar w:top="1276" w:right="1800" w:bottom="141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773"/>
    <w:rsid w:val="002337AE"/>
    <w:rsid w:val="00315A34"/>
    <w:rsid w:val="003E1797"/>
    <w:rsid w:val="004A08A8"/>
    <w:rsid w:val="004A2CCC"/>
    <w:rsid w:val="005E2117"/>
    <w:rsid w:val="007E4332"/>
    <w:rsid w:val="00896E75"/>
    <w:rsid w:val="00922773"/>
    <w:rsid w:val="00A82C46"/>
    <w:rsid w:val="00DF61A1"/>
    <w:rsid w:val="00FB6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2021-01-12T15:21:00Z</dcterms:created>
  <dcterms:modified xsi:type="dcterms:W3CDTF">2021-01-12T15:23:00Z</dcterms:modified>
</cp:coreProperties>
</file>